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F7" w:rsidRPr="006C293A" w:rsidRDefault="00940CF7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У К Р А Ї Н А</w:t>
      </w:r>
    </w:p>
    <w:p w:rsidR="00940CF7" w:rsidRDefault="00940CF7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193DE3" w:rsidRPr="006C293A" w:rsidRDefault="00193DE3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 І Ш Е Н </w:t>
      </w:r>
      <w:proofErr w:type="spellStart"/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</w:t>
      </w:r>
      <w:proofErr w:type="spellEnd"/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Я</w:t>
      </w:r>
    </w:p>
    <w:p w:rsidR="00277CFF" w:rsidRPr="006C293A" w:rsidRDefault="00277CFF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277CFF" w:rsidP="00193DE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Двадцять </w:t>
      </w:r>
      <w:r w:rsidR="00193DE3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восьма</w:t>
      </w:r>
      <w:r w:rsidR="00193DE3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940CF7"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сесія</w:t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</w:r>
      <w:r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ab/>
        <w:t xml:space="preserve">                </w:t>
      </w:r>
      <w:r w:rsidR="00940CF7" w:rsidRPr="006C293A">
        <w:rPr>
          <w:rFonts w:ascii="Georgia" w:eastAsia="Times New Roman" w:hAnsi="Georgia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VІІ  скликання</w:t>
      </w:r>
    </w:p>
    <w:p w:rsidR="00277CFF" w:rsidRPr="006C293A" w:rsidRDefault="00277CFF" w:rsidP="00193DE3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Від </w:t>
      </w:r>
      <w:r w:rsidR="00193DE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19 травня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="0032237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року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</w:t>
      </w:r>
      <w:r w:rsidR="00193DE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193DE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№ </w:t>
      </w:r>
      <w:r w:rsidR="00193DE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850</w:t>
      </w:r>
    </w:p>
    <w:p w:rsidR="00277CFF" w:rsidRPr="006C293A" w:rsidRDefault="00277CFF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Про затвердження порядку та нормативу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відрахувань до місцевого бюджету частини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чистого прибутку (доходу) підприємствами,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="0032237E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що належать до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комунальної власності</w:t>
      </w:r>
      <w:r w:rsidR="00277CFF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міста Овруч на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рік</w:t>
      </w:r>
    </w:p>
    <w:p w:rsidR="00277CFF" w:rsidRPr="006C293A" w:rsidRDefault="00277CFF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З метою поповнення доходної частини місцевого бюджету, затвердження порядку та нормативу відрахувань частини прибутку (доходу), отриманого за результатами господарської діяльності в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році підприємствами, що належать до комунальної власності міста </w:t>
      </w:r>
      <w:r w:rsidR="006B205A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Овруч, керуючись п. 12.3 ст. 12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Податкового кодексу України, п. 9 ст. 69 Бюджетного кодексу України, </w:t>
      </w:r>
      <w:proofErr w:type="spellStart"/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пп</w:t>
      </w:r>
      <w:proofErr w:type="spellEnd"/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. 29 ч. 1 ст. 26. Закону України «Про місцеве самоврядування в Україні», міська рада</w:t>
      </w:r>
    </w:p>
    <w:p w:rsidR="00277CFF" w:rsidRPr="006C293A" w:rsidRDefault="00277CFF" w:rsidP="00193DE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В И Р І Ш И Л А:</w:t>
      </w:r>
    </w:p>
    <w:p w:rsidR="006B205A" w:rsidRPr="006C293A" w:rsidRDefault="006B205A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Default="00940CF7" w:rsidP="00193D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Затвердити Порядок та норматив відрахування частини прибутку (доходу) для підприємств комунальної власності міста Овруч, яка підлягає зарахуванню до місцевого бюджету (додається).</w:t>
      </w:r>
    </w:p>
    <w:p w:rsidR="0032237E" w:rsidRPr="006C293A" w:rsidRDefault="0032237E" w:rsidP="00193DE3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Контроль за виконанням даного рішення покласти на постійну депутатську комісію міської ради з питань бюджету, комунальної власності та залучення інвестицій.</w:t>
      </w:r>
    </w:p>
    <w:p w:rsidR="00940CF7" w:rsidRPr="006C293A" w:rsidRDefault="00940CF7" w:rsidP="00193DE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     </w:t>
      </w:r>
      <w:r w:rsidR="007704F6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   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І.Я. Коруд</w:t>
      </w:r>
    </w:p>
    <w:p w:rsidR="00940CF7" w:rsidRPr="006C293A" w:rsidRDefault="00940CF7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3F5391" w:rsidRPr="006C293A" w:rsidRDefault="003F5391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3F5391" w:rsidRPr="006C293A" w:rsidRDefault="003F5391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3F5391" w:rsidRPr="000C13A1" w:rsidRDefault="003F5391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C1D1C" w:rsidRPr="006C293A" w:rsidRDefault="006C1D1C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3F5391" w:rsidRPr="006C293A" w:rsidRDefault="003F5391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lastRenderedPageBreak/>
        <w:t>ДОДАТОК</w:t>
      </w:r>
    </w:p>
    <w:p w:rsidR="00940CF7" w:rsidRPr="006C293A" w:rsidRDefault="00940CF7" w:rsidP="00193DE3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до рішення </w:t>
      </w:r>
      <w:r w:rsidR="006B205A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28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-ої сесії міської ради</w:t>
      </w:r>
    </w:p>
    <w:p w:rsidR="00940CF7" w:rsidRPr="006C293A" w:rsidRDefault="00940CF7" w:rsidP="00193DE3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VІІ скликання</w:t>
      </w:r>
    </w:p>
    <w:p w:rsidR="00940CF7" w:rsidRPr="006C293A" w:rsidRDefault="00940CF7" w:rsidP="00193DE3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від </w:t>
      </w:r>
      <w:r w:rsidR="00193DE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19.05.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року № </w:t>
      </w:r>
      <w:r w:rsidR="00193DE3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850</w:t>
      </w:r>
    </w:p>
    <w:p w:rsidR="006B205A" w:rsidRPr="006C293A" w:rsidRDefault="006B205A" w:rsidP="00193DE3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ind w:firstLine="4962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ПОРЯДОК</w:t>
      </w:r>
    </w:p>
    <w:p w:rsidR="00940CF7" w:rsidRPr="006C293A" w:rsidRDefault="00940CF7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та норматив відрахування в 201</w:t>
      </w:r>
      <w:r w:rsidR="003F5391"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році частини прибутку (доходу)</w:t>
      </w:r>
    </w:p>
    <w:p w:rsidR="00940CF7" w:rsidRPr="006C293A" w:rsidRDefault="00940CF7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для підприємств комунальної власності міста Овруч,</w:t>
      </w:r>
    </w:p>
    <w:p w:rsidR="00940CF7" w:rsidRPr="006C293A" w:rsidRDefault="00940CF7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 яка підлягає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 </w:t>
      </w:r>
      <w:r w:rsidRPr="006C293A">
        <w:rPr>
          <w:rFonts w:ascii="Bookman Old Style" w:eastAsia="Times New Roman" w:hAnsi="Bookman Old Style" w:cs="Tahoma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зарахуванню до місцевого бюджету</w:t>
      </w:r>
    </w:p>
    <w:p w:rsidR="003F5391" w:rsidRPr="006C293A" w:rsidRDefault="003F5391" w:rsidP="00193DE3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numPr>
          <w:ilvl w:val="0"/>
          <w:numId w:val="2"/>
        </w:numPr>
        <w:shd w:val="clear" w:color="auto" w:fill="FFFFFF"/>
        <w:tabs>
          <w:tab w:val="clear" w:pos="720"/>
          <w:tab w:val="num" w:pos="1418"/>
        </w:tabs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Даний Порядок і норматив регламентують здійснення відрахування до загального фонду міського бюджету частини чистого прибутку (доходу) комунальними підприємствами, за результатами фінансово-господарської діяльності.</w:t>
      </w:r>
    </w:p>
    <w:p w:rsidR="00940CF7" w:rsidRPr="006C293A" w:rsidRDefault="00940CF7" w:rsidP="00193DE3">
      <w:pPr>
        <w:numPr>
          <w:ilvl w:val="0"/>
          <w:numId w:val="3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Відрахування частини чистого прибутку (доходу) до загального фонду міського бюджету за результатами фінансово-господарської діяльності провадяться комунальними підприємствами у розмірі 7 (сім)% чистого прибутку (доходу).</w:t>
      </w:r>
    </w:p>
    <w:p w:rsidR="00940CF7" w:rsidRPr="006C293A" w:rsidRDefault="00940CF7" w:rsidP="00193DE3">
      <w:pPr>
        <w:numPr>
          <w:ilvl w:val="0"/>
          <w:numId w:val="4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Підприємства комунальної власності здійснюють відрахування до місцевого бюджету частини чистого прибутку (доходу) наростаючим підсумком щоквартальної фінансово-господарської діяльності у 201</w:t>
      </w:r>
      <w:r w:rsidR="003F5391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7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році у строки, встановлені для сплати податку на прибуток підприємств.</w:t>
      </w:r>
    </w:p>
    <w:p w:rsidR="00940CF7" w:rsidRPr="006C293A" w:rsidRDefault="00940CF7" w:rsidP="00193DE3">
      <w:pPr>
        <w:numPr>
          <w:ilvl w:val="0"/>
          <w:numId w:val="5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Частина чистого прибутку (доходу), що відраховується до місцевого бюджету за відповідний період, визначається виходячи з обсягу чистого прибутку (доходу), розрахованого згідно з положеннями (стандартами) бухгалтерського обліку та розмірів відрахувань чистого прибутку (доходу), зазначених у п. 2 цього Порядку.</w:t>
      </w:r>
    </w:p>
    <w:p w:rsidR="00940CF7" w:rsidRPr="006C293A" w:rsidRDefault="00940CF7" w:rsidP="00193DE3">
      <w:pPr>
        <w:numPr>
          <w:ilvl w:val="0"/>
          <w:numId w:val="6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Частина чистого прибутку (доходу), що підлягає сплаті до місцевого бюджету, визначається комунальними підприємствами відповідно до форми розрахунку, встановленої державною податковою інспекцією, та зазначається у декларації з податку на прибуток підприємства. Розрахунок частини чистого прибутку (доходу) подається до органу державної податкової служби у строк, передбачений для подання декларації з податку на прибуток.</w:t>
      </w:r>
    </w:p>
    <w:p w:rsidR="00940CF7" w:rsidRPr="006C293A" w:rsidRDefault="00940CF7" w:rsidP="00193DE3">
      <w:pPr>
        <w:numPr>
          <w:ilvl w:val="0"/>
          <w:numId w:val="7"/>
        </w:numPr>
        <w:shd w:val="clear" w:color="auto" w:fill="FFFFFF"/>
        <w:tabs>
          <w:tab w:val="num" w:pos="1418"/>
        </w:tabs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Сплачена підприємствами комунальної власності відповідно до цього Порядку частина чистого прибутку (доходу) зараховується до загального фонду місцевого бюджету.</w:t>
      </w:r>
    </w:p>
    <w:p w:rsidR="00940CF7" w:rsidRPr="006C293A" w:rsidRDefault="00940CF7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6B205A" w:rsidRPr="006C293A" w:rsidRDefault="006B205A" w:rsidP="00193DE3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</w:p>
    <w:p w:rsidR="00940CF7" w:rsidRPr="006C293A" w:rsidRDefault="00940CF7" w:rsidP="00193DE3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</w:pP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Секретар ради                                                                  </w:t>
      </w:r>
      <w:r w:rsidR="007704F6"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 xml:space="preserve">           </w:t>
      </w:r>
      <w:r w:rsidRPr="006C293A">
        <w:rPr>
          <w:rFonts w:ascii="Bookman Old Style" w:eastAsia="Times New Roman" w:hAnsi="Bookman Old Style" w:cs="Tahoma"/>
          <w:color w:val="000000" w:themeColor="text1"/>
          <w:sz w:val="24"/>
          <w:szCs w:val="24"/>
          <w:lang w:val="uk-UA" w:eastAsia="ru-RU"/>
        </w:rPr>
        <w:t> М.В. Чичирко</w:t>
      </w:r>
    </w:p>
    <w:p w:rsidR="006113D1" w:rsidRPr="006C293A" w:rsidRDefault="006113D1" w:rsidP="00193DE3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uk-UA"/>
        </w:rPr>
      </w:pPr>
    </w:p>
    <w:sectPr w:rsidR="006113D1" w:rsidRPr="006C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D6B7B"/>
    <w:multiLevelType w:val="multilevel"/>
    <w:tmpl w:val="2E6A0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B1281"/>
    <w:multiLevelType w:val="multilevel"/>
    <w:tmpl w:val="3702C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D43E18"/>
    <w:multiLevelType w:val="multilevel"/>
    <w:tmpl w:val="C00057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968CD"/>
    <w:multiLevelType w:val="multilevel"/>
    <w:tmpl w:val="A6F23A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B3E88"/>
    <w:multiLevelType w:val="multilevel"/>
    <w:tmpl w:val="4928D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BD3B37"/>
    <w:multiLevelType w:val="multilevel"/>
    <w:tmpl w:val="FFD2C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87893"/>
    <w:multiLevelType w:val="multilevel"/>
    <w:tmpl w:val="D2E67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F7"/>
    <w:rsid w:val="000711B4"/>
    <w:rsid w:val="000C13A1"/>
    <w:rsid w:val="00193DE3"/>
    <w:rsid w:val="00230F41"/>
    <w:rsid w:val="00277CFF"/>
    <w:rsid w:val="0032237E"/>
    <w:rsid w:val="003F5391"/>
    <w:rsid w:val="006113D1"/>
    <w:rsid w:val="006B205A"/>
    <w:rsid w:val="006C1D1C"/>
    <w:rsid w:val="006C293A"/>
    <w:rsid w:val="007704F6"/>
    <w:rsid w:val="00940CF7"/>
    <w:rsid w:val="009747FC"/>
    <w:rsid w:val="00CE277F"/>
    <w:rsid w:val="00D7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9FB6F-E4AD-4D39-B286-78D6628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3A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93A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ZavViddil</cp:lastModifiedBy>
  <cp:revision>11</cp:revision>
  <cp:lastPrinted>2017-05-19T16:01:00Z</cp:lastPrinted>
  <dcterms:created xsi:type="dcterms:W3CDTF">2017-05-08T17:55:00Z</dcterms:created>
  <dcterms:modified xsi:type="dcterms:W3CDTF">2017-05-19T16:02:00Z</dcterms:modified>
</cp:coreProperties>
</file>