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3" w:rsidRPr="00B01F8E" w:rsidRDefault="00310BC3" w:rsidP="00310BC3">
      <w:pPr>
        <w:keepNext/>
        <w:ind w:right="-514"/>
        <w:outlineLvl w:val="0"/>
        <w:rPr>
          <w:rFonts w:eastAsia="Times New Roman"/>
          <w:lang w:val="uk-UA"/>
        </w:rPr>
      </w:pPr>
      <w:r w:rsidRPr="00B01F8E">
        <w:rPr>
          <w:rFonts w:ascii="Pragmatica" w:eastAsia="Times New Roman" w:hAnsi="Pragmatica"/>
          <w:b/>
          <w:bCs/>
          <w:lang w:val="uk-UA"/>
        </w:rPr>
        <w:t xml:space="preserve">                                                                     </w:t>
      </w:r>
      <w:r w:rsidR="002A36DA" w:rsidRPr="002A36DA">
        <w:rPr>
          <w:rFonts w:ascii="Pragmatica" w:eastAsia="Times New Roman" w:hAnsi="Pragmatica"/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5" o:title=""/>
          </v:shape>
        </w:pict>
      </w:r>
    </w:p>
    <w:p w:rsidR="00310BC3" w:rsidRPr="00B01F8E" w:rsidRDefault="00310BC3" w:rsidP="00310BC3">
      <w:pPr>
        <w:keepNext/>
        <w:ind w:right="-514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 xml:space="preserve">                                                                       У К Р А Ї Н А</w:t>
      </w:r>
    </w:p>
    <w:p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:rsidR="00310BC3" w:rsidRPr="00B01F8E" w:rsidRDefault="00310BC3" w:rsidP="00310BC3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           </w:t>
      </w:r>
      <w:r w:rsidRPr="00B01F8E">
        <w:rPr>
          <w:rFonts w:eastAsia="Times New Roman"/>
          <w:b/>
          <w:bCs/>
          <w:lang w:val="uk-UA"/>
        </w:rPr>
        <w:t xml:space="preserve">Р І Ш Е Н </w:t>
      </w:r>
      <w:proofErr w:type="spellStart"/>
      <w:r w:rsidRPr="00B01F8E">
        <w:rPr>
          <w:rFonts w:eastAsia="Times New Roman"/>
          <w:b/>
          <w:bCs/>
          <w:lang w:val="uk-UA"/>
        </w:rPr>
        <w:t>Н</w:t>
      </w:r>
      <w:proofErr w:type="spellEnd"/>
      <w:r w:rsidRPr="00B01F8E">
        <w:rPr>
          <w:rFonts w:eastAsia="Times New Roman"/>
          <w:b/>
          <w:bCs/>
          <w:lang w:val="uk-UA"/>
        </w:rPr>
        <w:t xml:space="preserve"> Я</w:t>
      </w:r>
    </w:p>
    <w:p w:rsidR="00310BC3" w:rsidRPr="00B01F8E" w:rsidRDefault="00ED10E8" w:rsidP="00ED10E8">
      <w:pPr>
        <w:jc w:val="right"/>
        <w:rPr>
          <w:rFonts w:eastAsia="Times New Roman"/>
          <w:lang w:val="uk-UA"/>
        </w:rPr>
      </w:pPr>
      <w:r w:rsidRPr="00ED10E8">
        <w:rPr>
          <w:rFonts w:ascii="Century Gothic" w:eastAsia="Times New Roman" w:hAnsi="Century Gothic"/>
          <w:b/>
          <w:bCs/>
          <w:i/>
          <w:iCs/>
          <w:sz w:val="28"/>
          <w:szCs w:val="28"/>
          <w:lang w:val="uk-UA"/>
        </w:rPr>
        <w:t>проект</w:t>
      </w:r>
    </w:p>
    <w:p w:rsidR="00310BC3" w:rsidRPr="00B01F8E" w:rsidRDefault="00ED10E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П</w:t>
      </w:r>
      <w:r w:rsidRPr="00FF601E">
        <w:rPr>
          <w:rFonts w:ascii="Bookman Old Style" w:eastAsia="Times New Roman" w:hAnsi="Bookman Old Style"/>
          <w:b/>
          <w:i/>
          <w:lang/>
        </w:rPr>
        <w:t>’</w:t>
      </w:r>
      <w:proofErr w:type="spellStart"/>
      <w:r>
        <w:rPr>
          <w:rFonts w:ascii="Bookman Old Style" w:eastAsia="Times New Roman" w:hAnsi="Bookman Old Style"/>
          <w:b/>
          <w:i/>
          <w:lang w:val="uk-UA"/>
        </w:rPr>
        <w:t>ята</w:t>
      </w:r>
      <w:proofErr w:type="spellEnd"/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    </w:t>
      </w:r>
      <w:r w:rsidR="00310BC3">
        <w:rPr>
          <w:rFonts w:ascii="Bookman Old Style" w:eastAsia="Times New Roman" w:hAnsi="Bookman Old Style"/>
          <w:b/>
          <w:i/>
          <w:lang w:val="uk-UA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                             </w:t>
      </w: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>д  1</w:t>
      </w:r>
      <w:r w:rsidR="00ED10E8">
        <w:rPr>
          <w:rFonts w:ascii="Bookman Old Style" w:eastAsia="Times New Roman" w:hAnsi="Bookman Old Style"/>
          <w:lang w:val="uk-UA"/>
        </w:rPr>
        <w:t>9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ED10E8">
        <w:rPr>
          <w:rFonts w:ascii="Bookman Old Style" w:eastAsia="Times New Roman" w:hAnsi="Bookman Old Style"/>
          <w:lang w:val="uk-UA"/>
        </w:rPr>
        <w:t>березня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Pr="00B01F8E">
        <w:rPr>
          <w:rFonts w:ascii="Bookman Old Style" w:eastAsia="Times New Roman" w:hAnsi="Bookman Old Style"/>
          <w:lang w:val="uk-UA"/>
        </w:rPr>
        <w:t xml:space="preserve">                                                        </w:t>
      </w:r>
    </w:p>
    <w:p w:rsidR="00500F04" w:rsidRPr="00310BC3" w:rsidRDefault="00500F04" w:rsidP="00310BC3">
      <w:pPr>
        <w:pStyle w:val="11"/>
        <w:rPr>
          <w:sz w:val="24"/>
        </w:rPr>
      </w:pPr>
    </w:p>
    <w:p w:rsidR="00500F04" w:rsidRPr="001E0DEA" w:rsidRDefault="00E559CA" w:rsidP="003B2F50">
      <w:pPr>
        <w:pStyle w:val="a4"/>
        <w:ind w:right="4677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передачу </w:t>
      </w:r>
      <w:r w:rsidR="00ED10E8">
        <w:rPr>
          <w:rFonts w:ascii="Bookman Old Style" w:hAnsi="Bookman Old Style"/>
          <w:szCs w:val="24"/>
          <w:lang w:val="uk-UA"/>
        </w:rPr>
        <w:t xml:space="preserve">майна </w:t>
      </w:r>
      <w:r w:rsidR="00F939B2">
        <w:rPr>
          <w:rFonts w:ascii="Bookman Old Style" w:hAnsi="Bookman Old Style"/>
          <w:szCs w:val="24"/>
          <w:lang w:val="uk-UA"/>
        </w:rPr>
        <w:t>з балансу</w:t>
      </w:r>
      <w:r w:rsidR="004004D3">
        <w:rPr>
          <w:rFonts w:ascii="Bookman Old Style" w:hAnsi="Bookman Old Style"/>
          <w:szCs w:val="24"/>
          <w:lang w:val="uk-UA"/>
        </w:rPr>
        <w:t xml:space="preserve"> Овруцької міської ради н</w:t>
      </w:r>
      <w:r w:rsidR="006019CA">
        <w:rPr>
          <w:rFonts w:ascii="Bookman Old Style" w:hAnsi="Bookman Old Style"/>
          <w:szCs w:val="24"/>
          <w:lang w:val="uk-UA"/>
        </w:rPr>
        <w:t xml:space="preserve">а баланс та оперативне управління відділу </w:t>
      </w:r>
      <w:r w:rsidR="003B2F50">
        <w:rPr>
          <w:rFonts w:ascii="Bookman Old Style" w:hAnsi="Bookman Old Style"/>
          <w:szCs w:val="24"/>
          <w:lang w:val="uk-UA"/>
        </w:rPr>
        <w:t>житлово-комунального господарства, благоустрою</w:t>
      </w:r>
      <w:r w:rsidR="00ED10E8">
        <w:rPr>
          <w:rFonts w:ascii="Bookman Old Style" w:hAnsi="Bookman Old Style"/>
          <w:szCs w:val="24"/>
          <w:lang w:val="uk-UA"/>
        </w:rPr>
        <w:t xml:space="preserve"> </w:t>
      </w:r>
      <w:r w:rsidR="005C5D22">
        <w:rPr>
          <w:rFonts w:ascii="Bookman Old Style" w:hAnsi="Bookman Old Style"/>
          <w:szCs w:val="24"/>
          <w:lang w:val="uk-UA"/>
        </w:rPr>
        <w:t>Овруцької міськ</w:t>
      </w:r>
      <w:r w:rsidR="004004D3">
        <w:rPr>
          <w:rFonts w:ascii="Bookman Old Style" w:hAnsi="Bookman Old Style"/>
          <w:szCs w:val="24"/>
          <w:lang w:val="uk-UA"/>
        </w:rPr>
        <w:t xml:space="preserve">ої ради </w:t>
      </w:r>
    </w:p>
    <w:p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500F04" w:rsidRDefault="005C5D22" w:rsidP="008C1722">
      <w:pPr>
        <w:pStyle w:val="a8"/>
        <w:ind w:left="0"/>
        <w:jc w:val="both"/>
        <w:rPr>
          <w:sz w:val="26"/>
          <w:szCs w:val="26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4004D3">
        <w:rPr>
          <w:rFonts w:ascii="Bookman Old Style" w:hAnsi="Bookman Old Style"/>
          <w:lang w:val="uk-UA"/>
        </w:rPr>
        <w:t xml:space="preserve">    Заслухавши інформацію </w:t>
      </w:r>
      <w:r w:rsidR="00ED10E8">
        <w:rPr>
          <w:rFonts w:ascii="Bookman Old Style" w:hAnsi="Bookman Old Style"/>
          <w:lang w:val="uk-UA"/>
        </w:rPr>
        <w:t>в. о. </w:t>
      </w:r>
      <w:r w:rsidR="004004D3">
        <w:rPr>
          <w:rFonts w:ascii="Bookman Old Style" w:hAnsi="Bookman Old Style"/>
          <w:lang w:val="uk-UA"/>
        </w:rPr>
        <w:t>начальника відділу комунальної вл</w:t>
      </w:r>
      <w:r w:rsidR="009565C3">
        <w:rPr>
          <w:rFonts w:ascii="Bookman Old Style" w:hAnsi="Bookman Old Style"/>
          <w:lang w:val="uk-UA"/>
        </w:rPr>
        <w:t xml:space="preserve">асності Овруцької міської ради </w:t>
      </w:r>
      <w:r w:rsidR="00ED10E8">
        <w:rPr>
          <w:rFonts w:ascii="Bookman Old Style" w:hAnsi="Bookman Old Style"/>
          <w:lang w:val="uk-UA"/>
        </w:rPr>
        <w:t>Нікіфорової</w:t>
      </w:r>
      <w:r w:rsidR="009565C3">
        <w:rPr>
          <w:rFonts w:ascii="Bookman Old Style" w:hAnsi="Bookman Old Style"/>
          <w:lang w:val="uk-UA"/>
        </w:rPr>
        <w:t xml:space="preserve"> С.</w:t>
      </w:r>
      <w:r w:rsidR="00ED10E8">
        <w:rPr>
          <w:rFonts w:ascii="Bookman Old Style" w:hAnsi="Bookman Old Style"/>
          <w:lang w:val="uk-UA"/>
        </w:rPr>
        <w:t> М</w:t>
      </w:r>
      <w:r w:rsidR="009565C3">
        <w:rPr>
          <w:rFonts w:ascii="Bookman Old Style" w:hAnsi="Bookman Old Style"/>
          <w:lang w:val="uk-UA"/>
        </w:rPr>
        <w:t>.</w:t>
      </w:r>
      <w:r w:rsidR="00B05A77">
        <w:rPr>
          <w:rFonts w:ascii="Bookman Old Style" w:hAnsi="Bookman Old Style"/>
          <w:lang w:val="uk-UA"/>
        </w:rPr>
        <w:t xml:space="preserve"> про передачу </w:t>
      </w:r>
      <w:r w:rsidR="006019CA">
        <w:rPr>
          <w:rFonts w:ascii="Bookman Old Style" w:hAnsi="Bookman Old Style"/>
          <w:lang w:val="uk-UA"/>
        </w:rPr>
        <w:t xml:space="preserve">рухомого майна </w:t>
      </w:r>
      <w:r w:rsidR="004004D3">
        <w:rPr>
          <w:rFonts w:ascii="Bookman Old Style" w:hAnsi="Bookman Old Style"/>
          <w:lang w:val="uk-UA"/>
        </w:rPr>
        <w:t xml:space="preserve"> для подальшого </w:t>
      </w:r>
      <w:r w:rsidR="006019CA">
        <w:rPr>
          <w:rFonts w:ascii="Bookman Old Style" w:hAnsi="Bookman Old Style"/>
          <w:lang w:val="uk-UA"/>
        </w:rPr>
        <w:t>використання та утримання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>,</w:t>
      </w:r>
      <w:r w:rsidR="009565C3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="008C1722">
        <w:rPr>
          <w:rFonts w:ascii="Bookman Old Style" w:hAnsi="Bookman Old Style"/>
          <w:sz w:val="26"/>
          <w:szCs w:val="26"/>
          <w:lang w:val="uk-UA"/>
        </w:rPr>
        <w:t>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ED10E8">
        <w:rPr>
          <w:rFonts w:ascii="Bookman Old Style" w:hAnsi="Bookman Old Style"/>
          <w:lang w:val="uk-UA"/>
        </w:rPr>
        <w:t>___</w:t>
      </w:r>
      <w:r w:rsidR="009565C3" w:rsidRPr="00310BC3">
        <w:rPr>
          <w:rFonts w:ascii="Bookman Old Style" w:hAnsi="Bookman Old Style"/>
          <w:lang w:val="uk-UA"/>
        </w:rPr>
        <w:t>.0</w:t>
      </w:r>
      <w:r w:rsidR="00ED10E8">
        <w:rPr>
          <w:rFonts w:ascii="Bookman Old Style" w:hAnsi="Bookman Old Style"/>
          <w:lang w:val="uk-UA"/>
        </w:rPr>
        <w:t>3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  <w:r w:rsidR="008C1722">
        <w:rPr>
          <w:sz w:val="26"/>
          <w:szCs w:val="26"/>
          <w:lang w:val="uk-UA"/>
        </w:rPr>
        <w:t xml:space="preserve"> </w:t>
      </w:r>
    </w:p>
    <w:p w:rsidR="004004D3" w:rsidRPr="008C1722" w:rsidRDefault="004004D3" w:rsidP="008C1722">
      <w:pPr>
        <w:pStyle w:val="a8"/>
        <w:ind w:left="0"/>
        <w:jc w:val="both"/>
        <w:rPr>
          <w:rFonts w:ascii="Bookman Old Style" w:hAnsi="Bookman Old Style"/>
          <w:sz w:val="26"/>
          <w:szCs w:val="26"/>
          <w:lang w:val="uk-UA"/>
        </w:rPr>
      </w:pPr>
    </w:p>
    <w:p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:rsidR="00310BC3" w:rsidRDefault="004004D3" w:rsidP="00151F4D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A44A8F">
        <w:rPr>
          <w:rFonts w:ascii="Bookman Old Style" w:hAnsi="Bookman Old Style"/>
          <w:lang w:val="uk-UA"/>
        </w:rPr>
        <w:t xml:space="preserve">майно комунальної власності Овруцької міської об’єднаної територіальної громади </w:t>
      </w:r>
      <w:r w:rsidR="00B05A77" w:rsidRPr="00310BC3">
        <w:rPr>
          <w:rFonts w:ascii="Bookman Old Style" w:hAnsi="Bookman Old Style"/>
          <w:lang w:val="uk-UA"/>
        </w:rPr>
        <w:t xml:space="preserve">з балансу </w:t>
      </w:r>
      <w:r w:rsidR="00C707B5" w:rsidRPr="00310BC3">
        <w:rPr>
          <w:rFonts w:ascii="Bookman Old Style" w:hAnsi="Bookman Old Style"/>
          <w:lang w:val="uk-UA"/>
        </w:rPr>
        <w:t xml:space="preserve"> </w:t>
      </w:r>
      <w:r w:rsidRPr="00310BC3">
        <w:rPr>
          <w:rFonts w:ascii="Bookman Old Style" w:hAnsi="Bookman Old Style"/>
          <w:lang w:val="uk-UA"/>
        </w:rPr>
        <w:t xml:space="preserve">Овруцької міської ради  на баланс та </w:t>
      </w:r>
      <w:r w:rsidR="006019CA" w:rsidRPr="00310BC3">
        <w:rPr>
          <w:rFonts w:ascii="Bookman Old Style" w:hAnsi="Bookman Old Style"/>
          <w:lang w:val="uk-UA"/>
        </w:rPr>
        <w:t xml:space="preserve">оперативне управління відділу </w:t>
      </w:r>
      <w:r w:rsidR="003B2F50" w:rsidRPr="003B2F50">
        <w:rPr>
          <w:rFonts w:ascii="Bookman Old Style" w:hAnsi="Bookman Old Style"/>
          <w:lang w:val="uk-UA"/>
        </w:rPr>
        <w:t xml:space="preserve">житлово-комунального господарства, благоустрою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 xml:space="preserve">ї ради </w:t>
      </w:r>
      <w:r w:rsidRPr="00310BC3">
        <w:rPr>
          <w:rFonts w:ascii="Bookman Old Style" w:hAnsi="Bookman Old Style"/>
          <w:lang w:val="uk-UA"/>
        </w:rPr>
        <w:t>згідн</w:t>
      </w:r>
      <w:r w:rsidR="009565C3" w:rsidRPr="00310BC3">
        <w:rPr>
          <w:rFonts w:ascii="Bookman Old Style" w:hAnsi="Bookman Old Style"/>
          <w:lang w:val="uk-UA"/>
        </w:rPr>
        <w:t xml:space="preserve">о </w:t>
      </w:r>
      <w:r w:rsidR="00ED10E8">
        <w:rPr>
          <w:rFonts w:ascii="Bookman Old Style" w:hAnsi="Bookman Old Style"/>
          <w:lang w:val="uk-UA"/>
        </w:rPr>
        <w:t>Д</w:t>
      </w:r>
      <w:r w:rsidR="009565C3" w:rsidRPr="00310BC3">
        <w:rPr>
          <w:rFonts w:ascii="Bookman Old Style" w:hAnsi="Bookman Old Style"/>
          <w:lang w:val="uk-UA"/>
        </w:rPr>
        <w:t>одатк</w:t>
      </w:r>
      <w:r w:rsidR="00ED10E8">
        <w:rPr>
          <w:rFonts w:ascii="Bookman Old Style" w:hAnsi="Bookman Old Style"/>
          <w:lang w:val="uk-UA"/>
        </w:rPr>
        <w:t>ів</w:t>
      </w:r>
      <w:r w:rsidR="009565C3" w:rsidRPr="00310BC3">
        <w:rPr>
          <w:rFonts w:ascii="Bookman Old Style" w:hAnsi="Bookman Old Style"/>
          <w:lang w:val="uk-UA"/>
        </w:rPr>
        <w:t xml:space="preserve"> №1</w:t>
      </w:r>
      <w:r w:rsidR="00ED10E8">
        <w:rPr>
          <w:rFonts w:ascii="Bookman Old Style" w:hAnsi="Bookman Old Style"/>
          <w:lang w:val="uk-UA"/>
        </w:rPr>
        <w:t>, №2 до даного рішення</w:t>
      </w:r>
      <w:r w:rsidR="001452B3" w:rsidRPr="00310BC3">
        <w:rPr>
          <w:rFonts w:ascii="Bookman Old Style" w:hAnsi="Bookman Old Style"/>
          <w:lang w:val="uk-UA"/>
        </w:rPr>
        <w:t>.</w:t>
      </w:r>
    </w:p>
    <w:p w:rsidR="00310BC3" w:rsidRDefault="00310BC3" w:rsidP="00310BC3">
      <w:pPr>
        <w:ind w:left="765"/>
        <w:jc w:val="both"/>
        <w:rPr>
          <w:rFonts w:ascii="Bookman Old Style" w:hAnsi="Bookman Old Style"/>
          <w:lang w:val="uk-UA"/>
        </w:rPr>
      </w:pPr>
    </w:p>
    <w:p w:rsidR="001452B3" w:rsidRPr="00310BC3" w:rsidRDefault="001452B3" w:rsidP="00151F4D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</w:t>
      </w:r>
      <w:r w:rsidR="00ED10E8">
        <w:rPr>
          <w:rFonts w:ascii="Bookman Old Style" w:hAnsi="Bookman Old Style"/>
          <w:lang w:val="uk-UA"/>
        </w:rPr>
        <w:t>и</w:t>
      </w:r>
      <w:r w:rsidRPr="00310BC3">
        <w:rPr>
          <w:rFonts w:ascii="Bookman Old Style" w:hAnsi="Bookman Old Style"/>
          <w:lang w:val="uk-UA"/>
        </w:rPr>
        <w:t xml:space="preserve">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майна, зазначеного в пункті 1 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ED10E8">
        <w:rPr>
          <w:rFonts w:ascii="Bookman Old Style" w:hAnsi="Bookman Old Style"/>
          <w:lang w:val="uk-UA"/>
        </w:rPr>
        <w:t xml:space="preserve">акти </w:t>
      </w:r>
      <w:r w:rsidRPr="00310BC3">
        <w:rPr>
          <w:rFonts w:ascii="Bookman Old Style" w:hAnsi="Bookman Old Style"/>
          <w:lang w:val="uk-UA"/>
        </w:rPr>
        <w:t>дода</w:t>
      </w:r>
      <w:r w:rsidR="00ED10E8">
        <w:rPr>
          <w:rFonts w:ascii="Bookman Old Style" w:hAnsi="Bookman Old Style"/>
          <w:lang w:val="uk-UA"/>
        </w:rPr>
        <w:t>ю</w:t>
      </w:r>
      <w:r w:rsidRPr="00310BC3">
        <w:rPr>
          <w:rFonts w:ascii="Bookman Old Style" w:hAnsi="Bookman Old Style"/>
          <w:lang w:val="uk-UA"/>
        </w:rPr>
        <w:t>ться).</w:t>
      </w:r>
    </w:p>
    <w:p w:rsidR="004004D3" w:rsidRPr="00F92877" w:rsidRDefault="004004D3" w:rsidP="00F92877">
      <w:pPr>
        <w:jc w:val="both"/>
        <w:rPr>
          <w:rFonts w:ascii="Bookman Old Style" w:hAnsi="Bookman Old Style"/>
          <w:lang w:val="uk-UA"/>
        </w:rPr>
      </w:pPr>
    </w:p>
    <w:p w:rsidR="005B5D83" w:rsidRDefault="00C707B5" w:rsidP="005C0400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Відділу бухгалтерського обліку </w:t>
      </w:r>
      <w:bookmarkStart w:id="0" w:name="_Hlk66370682"/>
      <w:r>
        <w:rPr>
          <w:rFonts w:ascii="Bookman Old Style" w:hAnsi="Bookman Old Style"/>
          <w:lang w:val="uk-UA"/>
        </w:rPr>
        <w:t>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F76DD9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</w:t>
      </w:r>
      <w:r w:rsidR="001452B3">
        <w:rPr>
          <w:rFonts w:ascii="Bookman Old Style" w:hAnsi="Bookman Old Style"/>
          <w:lang w:val="uk-UA"/>
        </w:rPr>
        <w:t>в</w:t>
      </w:r>
      <w:r w:rsidR="00310BC3">
        <w:rPr>
          <w:rFonts w:ascii="Bookman Old Style" w:hAnsi="Bookman Old Style"/>
          <w:lang w:val="uk-UA"/>
        </w:rPr>
        <w:t>ідділу</w:t>
      </w:r>
      <w:r w:rsidR="004004D3">
        <w:rPr>
          <w:rFonts w:ascii="Bookman Old Style" w:hAnsi="Bookman Old Style"/>
          <w:lang w:val="uk-UA"/>
        </w:rPr>
        <w:t xml:space="preserve"> </w:t>
      </w:r>
      <w:r w:rsidR="003B2F50" w:rsidRPr="003B2F50">
        <w:rPr>
          <w:rFonts w:ascii="Bookman Old Style" w:hAnsi="Bookman Old Style"/>
          <w:lang w:val="uk-UA"/>
        </w:rPr>
        <w:t xml:space="preserve">житлово-комунального господарства, благоустрою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bookmarkEnd w:id="0"/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 пункті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:rsidR="00A44A8F" w:rsidRDefault="00A44A8F" w:rsidP="00A44A8F">
      <w:pPr>
        <w:pStyle w:val="a7"/>
        <w:rPr>
          <w:rFonts w:ascii="Bookman Old Style" w:hAnsi="Bookman Old Style"/>
          <w:lang w:val="uk-UA"/>
        </w:rPr>
      </w:pPr>
    </w:p>
    <w:p w:rsidR="00A44A8F" w:rsidRDefault="00A44A8F" w:rsidP="005C0400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Контроль за виконанням даного рішення покласти на відділ бухгалтерського обліку та консолідованої звітності міської ради (</w:t>
      </w:r>
      <w:proofErr w:type="spellStart"/>
      <w:r>
        <w:rPr>
          <w:rFonts w:ascii="Bookman Old Style" w:hAnsi="Bookman Old Style"/>
          <w:lang w:val="uk-UA"/>
        </w:rPr>
        <w:t>Стельникович</w:t>
      </w:r>
      <w:proofErr w:type="spellEnd"/>
      <w:r>
        <w:rPr>
          <w:rFonts w:ascii="Bookman Old Style" w:hAnsi="Bookman Old Style"/>
          <w:lang w:val="uk-UA"/>
        </w:rPr>
        <w:t xml:space="preserve"> Т. Г.) та начальника відділу </w:t>
      </w:r>
      <w:r w:rsidRPr="003B2F50">
        <w:rPr>
          <w:rFonts w:ascii="Bookman Old Style" w:hAnsi="Bookman Old Style"/>
          <w:lang w:val="uk-UA"/>
        </w:rPr>
        <w:t xml:space="preserve">житлово-комунального господарства, благоустрою </w:t>
      </w:r>
      <w:r>
        <w:rPr>
          <w:rFonts w:ascii="Bookman Old Style" w:hAnsi="Bookman Old Style"/>
          <w:lang w:val="uk-UA"/>
        </w:rPr>
        <w:t>Овруцької міської ради (</w:t>
      </w:r>
      <w:proofErr w:type="spellStart"/>
      <w:r>
        <w:rPr>
          <w:rFonts w:ascii="Bookman Old Style" w:hAnsi="Bookman Old Style"/>
          <w:lang w:val="uk-UA"/>
        </w:rPr>
        <w:t>Редчиць</w:t>
      </w:r>
      <w:proofErr w:type="spellEnd"/>
      <w:r>
        <w:rPr>
          <w:rFonts w:ascii="Bookman Old Style" w:hAnsi="Bookman Old Style"/>
          <w:lang w:val="uk-UA"/>
        </w:rPr>
        <w:t> О. П.).</w:t>
      </w:r>
    </w:p>
    <w:p w:rsidR="005B5D83" w:rsidRDefault="005B5D83" w:rsidP="005B5D83">
      <w:pPr>
        <w:pStyle w:val="a7"/>
        <w:rPr>
          <w:rFonts w:ascii="Bookman Old Style" w:hAnsi="Bookman Old Style"/>
          <w:lang w:val="uk-UA"/>
        </w:rPr>
      </w:pPr>
    </w:p>
    <w:p w:rsidR="00E731B8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p w:rsidR="00FE777B" w:rsidRDefault="00FE777B" w:rsidP="00FE777B">
      <w:pPr>
        <w:rPr>
          <w:rFonts w:ascii="Bookman Old Style" w:eastAsia="Times New Roman" w:hAnsi="Bookman Old Style"/>
          <w:lang w:val="uk-UA"/>
        </w:rPr>
      </w:pPr>
    </w:p>
    <w:p w:rsidR="00FF601E" w:rsidRPr="00FF601E" w:rsidRDefault="00FE777B" w:rsidP="00FE777B">
      <w:pPr>
        <w:rPr>
          <w:rFonts w:eastAsia="Times New Roman"/>
          <w:b/>
          <w:bCs/>
          <w:sz w:val="22"/>
          <w:szCs w:val="22"/>
          <w:lang w:val="uk-UA"/>
        </w:rPr>
      </w:pPr>
      <w:r>
        <w:rPr>
          <w:rFonts w:ascii="Bookman Old Style" w:eastAsia="Times New Roman" w:hAnsi="Bookman Old Style"/>
          <w:lang w:val="uk-UA"/>
        </w:rPr>
        <w:lastRenderedPageBreak/>
        <w:t xml:space="preserve">                                                                                  </w:t>
      </w:r>
      <w:r w:rsidR="00FF601E" w:rsidRPr="00FF601E">
        <w:rPr>
          <w:rFonts w:eastAsia="Times New Roman"/>
          <w:b/>
          <w:bCs/>
          <w:sz w:val="22"/>
          <w:szCs w:val="22"/>
          <w:lang w:val="uk-UA"/>
        </w:rPr>
        <w:t>Додаток №1</w:t>
      </w:r>
    </w:p>
    <w:p w:rsidR="00FF601E" w:rsidRPr="00FF601E" w:rsidRDefault="00FE777B" w:rsidP="00FE777B">
      <w:pPr>
        <w:rPr>
          <w:rFonts w:eastAsia="Times New Roman"/>
          <w:b/>
          <w:bCs/>
          <w:sz w:val="22"/>
          <w:szCs w:val="22"/>
          <w:lang w:val="uk-UA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                                                                    </w:t>
      </w:r>
      <w:r w:rsidR="00FF601E" w:rsidRPr="00FF601E">
        <w:rPr>
          <w:rFonts w:eastAsia="Times New Roman"/>
          <w:b/>
          <w:bCs/>
          <w:sz w:val="22"/>
          <w:szCs w:val="22"/>
          <w:lang w:val="uk-UA"/>
        </w:rPr>
        <w:t>до рішення 5-ої сесії VIII скликання</w:t>
      </w:r>
    </w:p>
    <w:p w:rsidR="00FF601E" w:rsidRPr="00FF601E" w:rsidRDefault="00FF601E" w:rsidP="00CD363A">
      <w:pPr>
        <w:tabs>
          <w:tab w:val="right" w:pos="9355"/>
        </w:tabs>
        <w:ind w:firstLine="5879"/>
        <w:rPr>
          <w:rFonts w:eastAsia="Times New Roman"/>
          <w:b/>
          <w:bCs/>
          <w:sz w:val="22"/>
          <w:szCs w:val="22"/>
          <w:lang w:val="uk-UA"/>
        </w:rPr>
      </w:pPr>
      <w:r w:rsidRPr="00FF601E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  <w:r w:rsidR="00CD363A">
        <w:rPr>
          <w:rFonts w:eastAsia="Times New Roman"/>
          <w:b/>
          <w:bCs/>
          <w:sz w:val="22"/>
          <w:szCs w:val="22"/>
          <w:lang w:val="uk-UA"/>
        </w:rPr>
        <w:tab/>
      </w:r>
    </w:p>
    <w:p w:rsidR="00FF601E" w:rsidRPr="00FF601E" w:rsidRDefault="00FF601E" w:rsidP="00FF601E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  <w:r w:rsidRPr="00FF601E">
        <w:rPr>
          <w:rFonts w:eastAsia="Times New Roman"/>
          <w:b/>
          <w:bCs/>
          <w:sz w:val="22"/>
          <w:szCs w:val="22"/>
          <w:lang w:val="uk-UA"/>
        </w:rPr>
        <w:t>від 19.03.2021 р. №______</w:t>
      </w:r>
    </w:p>
    <w:p w:rsidR="00FF601E" w:rsidRPr="00FF601E" w:rsidRDefault="00FF601E" w:rsidP="00FF601E">
      <w:pPr>
        <w:jc w:val="center"/>
        <w:rPr>
          <w:rFonts w:eastAsia="Times New Roman"/>
          <w:szCs w:val="28"/>
          <w:lang w:val="uk-UA"/>
        </w:rPr>
      </w:pPr>
    </w:p>
    <w:p w:rsidR="00FF601E" w:rsidRPr="00FF601E" w:rsidRDefault="00FF601E" w:rsidP="00FF601E">
      <w:pPr>
        <w:jc w:val="center"/>
        <w:rPr>
          <w:rFonts w:eastAsia="Times New Roman"/>
          <w:szCs w:val="28"/>
          <w:lang w:val="uk-UA"/>
        </w:rPr>
      </w:pPr>
      <w:r w:rsidRPr="00FF601E">
        <w:rPr>
          <w:rFonts w:eastAsia="Times New Roman"/>
          <w:szCs w:val="28"/>
          <w:lang w:val="uk-UA"/>
        </w:rPr>
        <w:t>Майно, що передається з балансу Овруцької міської ради на баланс та оперативне управління відділу житлово-комунального господарства, благоустрою Овруцької міської ради</w:t>
      </w:r>
    </w:p>
    <w:p w:rsidR="00FF601E" w:rsidRPr="00FF601E" w:rsidRDefault="00FF601E" w:rsidP="00FF601E">
      <w:pPr>
        <w:jc w:val="center"/>
        <w:rPr>
          <w:rFonts w:eastAsia="Times New Roman"/>
          <w:szCs w:val="28"/>
          <w:lang w:val="uk-UA"/>
        </w:rPr>
      </w:pPr>
    </w:p>
    <w:tbl>
      <w:tblPr>
        <w:tblW w:w="9945" w:type="dxa"/>
        <w:jc w:val="center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5"/>
        <w:gridCol w:w="2495"/>
        <w:gridCol w:w="851"/>
        <w:gridCol w:w="1275"/>
        <w:gridCol w:w="1276"/>
        <w:gridCol w:w="992"/>
        <w:gridCol w:w="993"/>
        <w:gridCol w:w="1438"/>
      </w:tblGrid>
      <w:tr w:rsidR="00FF601E" w:rsidRPr="00FF601E" w:rsidTr="00FF601E">
        <w:trPr>
          <w:trHeight w:val="29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Кількість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Первісна (переоцінена)</w:t>
            </w:r>
          </w:p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вартість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Номер паспорта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ind w:left="-70" w:right="-70"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за одиницю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Високоріз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Штіль</w:t>
            </w:r>
            <w:proofErr w:type="spellEnd"/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101480003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18999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18999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5890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5890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Робочий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Бензопила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Штіль</w:t>
            </w:r>
            <w:proofErr w:type="spellEnd"/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101480004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15849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15849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4887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Робочий</w:t>
            </w:r>
          </w:p>
        </w:tc>
      </w:tr>
      <w:tr w:rsidR="00FF601E" w:rsidRPr="00FF601E" w:rsidTr="00FF601E">
        <w:trPr>
          <w:trHeight w:val="4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Кусторез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Штіль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FS-350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101480041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742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Мотоножниці</w:t>
            </w:r>
            <w:proofErr w:type="spellEnd"/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101480042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ind w:left="720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sz w:val="18"/>
                <w:szCs w:val="18"/>
                <w:lang w:val="uk-UA"/>
              </w:rPr>
              <w:t>ВСЬОГО  по  1014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63148,00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63148,00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11957,00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11957,00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FF601E" w:rsidRPr="00FF601E" w:rsidTr="00FF601E">
        <w:trPr>
          <w:trHeight w:val="5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Огорожа кладовища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Борутино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(дерев)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0.205п/м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Ритуальна площадка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Людвинівка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(кладовище)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незадовільний (потреб. ремонт. побілки)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Огорожа кладовища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с.Піхоцьке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 дерев)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0.800км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3915,00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3915,00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trHeight w:val="6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Ритуальний майданчик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Піхоцьке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(кладовище)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незадовільний</w:t>
            </w:r>
          </w:p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(потребує. ремонт)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Ритуальна площадка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(кладовище)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(потреб ремонт)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Огорожа кладовища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(дерев)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trHeight w:val="4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Огорожа кладовища (бетон плити) с. Прилуки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0.570п/м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9900,00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9900,00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Ритуальна площадка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с.Прилуки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(кладовище)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незадовільний</w:t>
            </w:r>
          </w:p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(потреб ремонт)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Огорожа кладовища с. Рудня (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Металопрофіль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0.450п/м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329395,00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329395,00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5490,00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5490,00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trHeight w:val="54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Ритуальна площадка с. Рудня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незадовільний,</w:t>
            </w:r>
          </w:p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(потреб ремонт) 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Огорожа кладовища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Виступовичі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(дерев)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1700п/м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47728,00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47728,00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2386,00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Ритуальний майданчик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Виступовичі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(кладовище)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258,00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(потребує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покраски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Огорожа кладовища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Бирківське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(сітка)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0.280п/м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143170,00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143170,00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2386,00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Огорожа кладовища с.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Людвинівка</w:t>
            </w:r>
            <w:proofErr w:type="spellEnd"/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 (сітка)</w:t>
            </w:r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101330046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0.285п/м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137055,00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137055,00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1713,00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1713,00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ind w:left="360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ВСЬОГО ПО 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716456,00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716456,00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26698,00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26698,00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numPr>
                <w:ilvl w:val="0"/>
                <w:numId w:val="9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 xml:space="preserve">Ворота ковані (кладовище) </w:t>
            </w:r>
            <w:proofErr w:type="spellStart"/>
            <w:r w:rsidRPr="00FF601E">
              <w:rPr>
                <w:rFonts w:eastAsia="Times New Roman"/>
                <w:sz w:val="18"/>
                <w:szCs w:val="18"/>
                <w:lang w:val="uk-UA"/>
              </w:rPr>
              <w:t>с.Прилуки</w:t>
            </w:r>
            <w:proofErr w:type="spellEnd"/>
          </w:p>
          <w:p w:rsidR="00FF601E" w:rsidRPr="00FF601E" w:rsidRDefault="00FF601E" w:rsidP="00FF601E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111360161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3700,00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sz w:val="18"/>
                <w:szCs w:val="18"/>
                <w:lang w:val="uk-UA"/>
              </w:rPr>
              <w:t>1850,00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ВСЬОГО  ПО 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3700,00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1850,00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FF601E" w:rsidRPr="00FF601E" w:rsidTr="00FF601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783304,00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E" w:rsidRPr="00FF601E" w:rsidRDefault="00FF601E" w:rsidP="00FF601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FF601E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40505,00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FF601E" w:rsidRDefault="00FF601E" w:rsidP="00FF601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:rsidR="00FF601E" w:rsidRPr="00FF601E" w:rsidRDefault="00FF601E" w:rsidP="00FF601E">
      <w:pPr>
        <w:spacing w:after="120"/>
        <w:rPr>
          <w:rFonts w:eastAsia="Times New Roman"/>
          <w:sz w:val="18"/>
          <w:szCs w:val="18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jc w:val="both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Pr="00FE777B" w:rsidRDefault="00FE777B" w:rsidP="00FE777B">
      <w:pPr>
        <w:rPr>
          <w:rFonts w:ascii="Bookman Old Style" w:eastAsia="Times New Roman" w:hAnsi="Bookman Old Style"/>
          <w:bCs/>
          <w:lang w:val="uk-UA"/>
        </w:rPr>
      </w:pPr>
      <w:r w:rsidRPr="00FE777B">
        <w:rPr>
          <w:rFonts w:ascii="Bookman Old Style" w:eastAsia="Times New Roman" w:hAnsi="Bookman Old Style"/>
          <w:bCs/>
          <w:lang w:val="uk-UA"/>
        </w:rPr>
        <w:t xml:space="preserve">Секретар ради                                                                           Віктор Кисіль                                                   </w:t>
      </w: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</w:p>
    <w:p w:rsidR="00FE777B" w:rsidRP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  <w:r w:rsidRPr="00FE777B">
        <w:rPr>
          <w:rFonts w:eastAsia="Times New Roman"/>
          <w:b/>
          <w:bCs/>
          <w:sz w:val="22"/>
          <w:szCs w:val="22"/>
          <w:lang w:val="uk-UA"/>
        </w:rPr>
        <w:lastRenderedPageBreak/>
        <w:t>Додаток №2</w:t>
      </w:r>
    </w:p>
    <w:p w:rsidR="00FE777B" w:rsidRPr="00FE777B" w:rsidRDefault="00FE777B" w:rsidP="00FE777B">
      <w:pPr>
        <w:rPr>
          <w:rFonts w:eastAsia="Times New Roman"/>
          <w:b/>
          <w:bCs/>
          <w:sz w:val="22"/>
          <w:szCs w:val="22"/>
          <w:lang w:val="uk-UA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                                                                              </w:t>
      </w:r>
      <w:bookmarkStart w:id="1" w:name="_GoBack"/>
      <w:bookmarkEnd w:id="1"/>
      <w:r w:rsidRPr="00FE777B">
        <w:rPr>
          <w:rFonts w:eastAsia="Times New Roman"/>
          <w:b/>
          <w:bCs/>
          <w:sz w:val="22"/>
          <w:szCs w:val="22"/>
          <w:lang w:val="uk-UA"/>
        </w:rPr>
        <w:t>до рішення 5-ої сесії VIII скликання</w:t>
      </w:r>
    </w:p>
    <w:p w:rsidR="00FE777B" w:rsidRP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  <w:r w:rsidRPr="00FE777B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</w:p>
    <w:p w:rsidR="00FE777B" w:rsidRPr="00FE777B" w:rsidRDefault="00FE777B" w:rsidP="00FE777B">
      <w:pPr>
        <w:ind w:firstLine="6804"/>
        <w:rPr>
          <w:rFonts w:eastAsia="Times New Roman"/>
          <w:b/>
          <w:bCs/>
          <w:sz w:val="22"/>
          <w:szCs w:val="22"/>
          <w:lang w:val="uk-UA"/>
        </w:rPr>
      </w:pPr>
      <w:r w:rsidRPr="00FE777B">
        <w:rPr>
          <w:rFonts w:eastAsia="Times New Roman"/>
          <w:b/>
          <w:bCs/>
          <w:sz w:val="22"/>
          <w:szCs w:val="22"/>
          <w:lang w:val="uk-UA"/>
        </w:rPr>
        <w:t>від 19.03.2021 р. №______</w:t>
      </w:r>
    </w:p>
    <w:p w:rsidR="00FE777B" w:rsidRPr="00FE777B" w:rsidRDefault="00FE777B" w:rsidP="00FE777B">
      <w:pPr>
        <w:widowControl w:val="0"/>
        <w:rPr>
          <w:rFonts w:eastAsia="Arial Unicode MS"/>
          <w:spacing w:val="10"/>
          <w:sz w:val="22"/>
          <w:szCs w:val="22"/>
          <w:lang w:val="uk-UA" w:eastAsia="uk-UA"/>
        </w:rPr>
      </w:pPr>
    </w:p>
    <w:p w:rsidR="00FE777B" w:rsidRPr="00FE777B" w:rsidRDefault="00FE777B" w:rsidP="00FE777B">
      <w:pPr>
        <w:widowControl w:val="0"/>
        <w:ind w:left="284" w:right="142" w:firstLine="142"/>
        <w:jc w:val="center"/>
        <w:rPr>
          <w:rFonts w:eastAsia="Times New Roman"/>
          <w:lang w:val="uk-UA" w:eastAsia="uk-UA"/>
        </w:rPr>
      </w:pPr>
      <w:r w:rsidRPr="00FE777B">
        <w:rPr>
          <w:rFonts w:eastAsia="Times New Roman"/>
          <w:szCs w:val="28"/>
          <w:lang w:val="uk-UA" w:eastAsia="uk-UA"/>
        </w:rPr>
        <w:t>Майно, що передається з балансу Овруцької міської ради на баланс та оперативне управління відділу житлово-комунального господарства, благоустрою Овруцької міської ради</w:t>
      </w:r>
    </w:p>
    <w:tbl>
      <w:tblPr>
        <w:tblpPr w:leftFromText="180" w:rightFromText="180" w:vertAnchor="text" w:horzAnchor="margin" w:tblpXSpec="center" w:tblpY="161"/>
        <w:tblW w:w="98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9"/>
        <w:gridCol w:w="680"/>
        <w:gridCol w:w="3231"/>
        <w:gridCol w:w="964"/>
        <w:gridCol w:w="907"/>
        <w:gridCol w:w="1077"/>
        <w:gridCol w:w="992"/>
        <w:gridCol w:w="1418"/>
      </w:tblGrid>
      <w:tr w:rsidR="00FE777B" w:rsidRPr="00FE777B" w:rsidTr="00FE777B">
        <w:trPr>
          <w:trHeight w:hRule="exact" w:val="8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after="120" w:line="200" w:lineRule="exact"/>
              <w:jc w:val="center"/>
              <w:rPr>
                <w:rFonts w:eastAsia="Times New Roman"/>
                <w:color w:val="000000"/>
                <w:spacing w:val="1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color w:val="000000"/>
                <w:spacing w:val="10"/>
                <w:sz w:val="20"/>
                <w:szCs w:val="20"/>
                <w:lang w:val="uk-UA" w:eastAsia="uk-UA"/>
              </w:rPr>
              <w:t>№</w:t>
            </w:r>
          </w:p>
          <w:p w:rsidR="00FE777B" w:rsidRPr="00FE777B" w:rsidRDefault="00FE777B" w:rsidP="00FE777B">
            <w:pPr>
              <w:widowControl w:val="0"/>
              <w:spacing w:after="120" w:line="200" w:lineRule="exact"/>
              <w:jc w:val="center"/>
              <w:rPr>
                <w:rFonts w:eastAsia="Times New Roman"/>
                <w:color w:val="000000"/>
                <w:spacing w:val="1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color w:val="000000"/>
                <w:spacing w:val="10"/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after="120" w:line="200" w:lineRule="exact"/>
              <w:jc w:val="center"/>
              <w:rPr>
                <w:rFonts w:eastAsia="Times New Roman"/>
                <w:color w:val="000000"/>
                <w:spacing w:val="1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Times New Roman"/>
                <w:color w:val="000000"/>
                <w:spacing w:val="10"/>
                <w:sz w:val="20"/>
                <w:szCs w:val="20"/>
                <w:lang w:val="uk-UA" w:eastAsia="uk-UA"/>
              </w:rPr>
              <w:t>Раху-нок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after="120" w:line="2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line="2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  <w:t>Од. виміру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line="2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line="200" w:lineRule="exact"/>
              <w:jc w:val="center"/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line="200" w:lineRule="exact"/>
              <w:jc w:val="center"/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spacing w:line="2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Times New Roman"/>
                <w:iCs/>
                <w:color w:val="000000"/>
                <w:spacing w:val="10"/>
                <w:sz w:val="20"/>
                <w:szCs w:val="20"/>
                <w:lang w:val="uk-UA" w:eastAsia="uk-UA"/>
              </w:rPr>
              <w:t>Інші відомості</w:t>
            </w:r>
          </w:p>
        </w:tc>
      </w:tr>
      <w:tr w:rsidR="00FE777B" w:rsidRPr="00FE777B" w:rsidTr="00FE777B">
        <w:trPr>
          <w:trHeight w:hRule="exact" w:val="2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1513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Пиломатеріали м. куб 440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м.куб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1250,01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Пиломатеріали дуб. Обрізні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м.куб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5764,10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2455,52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47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Пиломатеріали обрізні хв порід L 6м 30*100*6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м.куб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33540,00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/>
              </w:rPr>
              <w:t>Виступовичі</w:t>
            </w:r>
            <w:proofErr w:type="spellEnd"/>
            <w:r w:rsidRPr="00FE777B">
              <w:rPr>
                <w:rFonts w:eastAsia="Arial Unicode MS"/>
                <w:color w:val="000000"/>
                <w:sz w:val="20"/>
                <w:szCs w:val="20"/>
                <w:lang w:val="uk-UA"/>
              </w:rPr>
              <w:t xml:space="preserve"> (кладовище)</w:t>
            </w: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Пиломатеріали обрізні хв порід L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м.куб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ind w:left="72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  <w:t>ВСЬОГО  по 1513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  <w:t>41133,53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1515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Верстат для заточування ланцюгів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Напильник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Масло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3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Масло "</w:t>
            </w: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Штіль</w:t>
            </w:r>
            <w:proofErr w:type="spellEnd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" 1л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Масло для змазки ціпки "И-20"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Змазка радіатора "</w:t>
            </w: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Штіль</w:t>
            </w:r>
            <w:proofErr w:type="spellEnd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Ніж на косу "</w:t>
            </w: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Штіль</w:t>
            </w:r>
            <w:proofErr w:type="spellEnd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Напильник</w:t>
            </w:r>
            <w:proofErr w:type="spellEnd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 xml:space="preserve"> "</w:t>
            </w: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Штіль</w:t>
            </w:r>
            <w:proofErr w:type="spellEnd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" 4,0/5,5 мм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Цепка 36 RS на шину 40 см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370,00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Цепка 63 RS на шину 35 см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Бухта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ind w:left="36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  <w:t>ВСЬОГО по 1515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  <w:t>5492,00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1812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Навушники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Cs/>
                <w:color w:val="000000"/>
                <w:sz w:val="20"/>
                <w:szCs w:val="20"/>
                <w:lang w:val="uk-UA"/>
              </w:rPr>
            </w:pPr>
            <w:r w:rsidRPr="00FE777B">
              <w:rPr>
                <w:rFonts w:eastAsia="Arial Unicode MS"/>
                <w:iCs/>
                <w:color w:val="000000"/>
                <w:sz w:val="20"/>
                <w:szCs w:val="20"/>
                <w:lang w:val="uk-UA"/>
              </w:rPr>
              <w:t>До бензопили</w:t>
            </w: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numPr>
                <w:ilvl w:val="0"/>
                <w:numId w:val="10"/>
              </w:numPr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Жилет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Cs/>
                <w:color w:val="000000"/>
                <w:sz w:val="20"/>
                <w:szCs w:val="20"/>
                <w:lang w:val="uk-UA"/>
              </w:rPr>
            </w:pPr>
            <w:r w:rsidRPr="00FE777B">
              <w:rPr>
                <w:rFonts w:eastAsia="Arial Unicode MS"/>
                <w:iCs/>
                <w:color w:val="000000"/>
                <w:sz w:val="20"/>
                <w:szCs w:val="20"/>
                <w:lang w:val="uk-UA"/>
              </w:rPr>
              <w:t xml:space="preserve">До бензопили </w:t>
            </w: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ind w:left="36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  <w:t>Всього 1812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line="22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FE777B" w:rsidRPr="00FE777B" w:rsidTr="00FE777B">
        <w:trPr>
          <w:trHeight w:hRule="exact"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777B" w:rsidRPr="00FE777B" w:rsidRDefault="00FE777B" w:rsidP="00FE777B">
            <w:pPr>
              <w:widowControl w:val="0"/>
              <w:ind w:left="36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  <w:t xml:space="preserve"> Разом: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line="22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77B" w:rsidRPr="00FE777B" w:rsidRDefault="00FE777B" w:rsidP="00FE777B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E777B">
              <w:rPr>
                <w:rFonts w:eastAsia="Arial Unicode MS"/>
                <w:b/>
                <w:bCs/>
                <w:color w:val="000000"/>
                <w:sz w:val="20"/>
                <w:szCs w:val="20"/>
                <w:lang w:val="uk-UA" w:eastAsia="uk-UA"/>
              </w:rPr>
              <w:t>47825,53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7B" w:rsidRPr="00FE777B" w:rsidRDefault="00FE777B" w:rsidP="00FE777B">
            <w:pPr>
              <w:widowControl w:val="0"/>
              <w:spacing w:before="100" w:beforeAutospacing="1" w:after="100" w:afterAutospacing="1"/>
              <w:jc w:val="center"/>
              <w:rPr>
                <w:rFonts w:eastAsia="Arial Unicode MS"/>
                <w:i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E777B" w:rsidRPr="00FE777B" w:rsidRDefault="00FE777B" w:rsidP="00FE777B">
      <w:pPr>
        <w:widowControl w:val="0"/>
        <w:rPr>
          <w:rFonts w:eastAsia="Times New Roman"/>
          <w:spacing w:val="10"/>
          <w:sz w:val="22"/>
          <w:szCs w:val="22"/>
          <w:lang w:val="uk-UA" w:eastAsia="uk-UA"/>
        </w:rPr>
      </w:pPr>
    </w:p>
    <w:p w:rsidR="00FE777B" w:rsidRPr="00FE777B" w:rsidRDefault="00FE777B" w:rsidP="00FE777B">
      <w:pPr>
        <w:widowControl w:val="0"/>
        <w:rPr>
          <w:rFonts w:eastAsia="Arial Unicode MS"/>
          <w:color w:val="000000"/>
          <w:sz w:val="2"/>
          <w:szCs w:val="2"/>
          <w:lang w:val="uk-UA" w:eastAsia="uk-UA"/>
        </w:rPr>
      </w:pPr>
    </w:p>
    <w:p w:rsidR="00FE777B" w:rsidRPr="00FE777B" w:rsidRDefault="00FE777B" w:rsidP="00FE777B">
      <w:pPr>
        <w:widowControl w:val="0"/>
        <w:rPr>
          <w:rFonts w:eastAsia="Arial Unicode MS"/>
          <w:color w:val="000000"/>
          <w:sz w:val="2"/>
          <w:szCs w:val="2"/>
          <w:lang w:val="uk-UA" w:eastAsia="uk-UA"/>
        </w:rPr>
      </w:pPr>
    </w:p>
    <w:p w:rsidR="00FE777B" w:rsidRPr="00FE777B" w:rsidRDefault="00FE777B" w:rsidP="00FE777B">
      <w:pPr>
        <w:widowControl w:val="0"/>
        <w:rPr>
          <w:rFonts w:eastAsia="Arial Unicode MS"/>
          <w:color w:val="000000"/>
          <w:sz w:val="2"/>
          <w:szCs w:val="2"/>
          <w:lang w:val="uk-UA" w:eastAsia="uk-UA"/>
        </w:rPr>
      </w:pPr>
    </w:p>
    <w:p w:rsidR="00FE777B" w:rsidRPr="00FE777B" w:rsidRDefault="00FE777B" w:rsidP="00FE777B">
      <w:pPr>
        <w:widowControl w:val="0"/>
        <w:ind w:right="-1475"/>
        <w:jc w:val="both"/>
        <w:rPr>
          <w:rFonts w:eastAsia="Arial Unicode MS"/>
          <w:color w:val="000000"/>
          <w:sz w:val="16"/>
          <w:szCs w:val="16"/>
          <w:lang w:val="uk-UA" w:eastAsia="uk-UA"/>
        </w:rPr>
      </w:pPr>
    </w:p>
    <w:p w:rsidR="00FE777B" w:rsidRPr="00FE777B" w:rsidRDefault="00FE777B" w:rsidP="00FE777B">
      <w:pPr>
        <w:rPr>
          <w:rFonts w:ascii="Bookman Old Style" w:eastAsia="Times New Roman" w:hAnsi="Bookman Old Style"/>
          <w:bCs/>
          <w:lang w:val="uk-UA"/>
        </w:rPr>
      </w:pPr>
      <w:r w:rsidRPr="00FE777B">
        <w:rPr>
          <w:rFonts w:ascii="Bookman Old Style" w:eastAsia="Times New Roman" w:hAnsi="Bookman Old Style"/>
          <w:bCs/>
          <w:lang w:val="uk-UA"/>
        </w:rPr>
        <w:t xml:space="preserve">Секретар ради                                                                           Віктор Кисіль                                                   </w:t>
      </w:r>
    </w:p>
    <w:p w:rsidR="00FF601E" w:rsidRPr="00185D7E" w:rsidRDefault="00FF601E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sectPr w:rsidR="00FF601E" w:rsidRPr="00185D7E" w:rsidSect="000D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354545FF"/>
    <w:multiLevelType w:val="hybridMultilevel"/>
    <w:tmpl w:val="2B3276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83D17"/>
    <w:multiLevelType w:val="hybridMultilevel"/>
    <w:tmpl w:val="AC0CD9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04"/>
    <w:rsid w:val="00040B64"/>
    <w:rsid w:val="000B70AE"/>
    <w:rsid w:val="000C1977"/>
    <w:rsid w:val="000C4A46"/>
    <w:rsid w:val="000D094A"/>
    <w:rsid w:val="000D6B5A"/>
    <w:rsid w:val="001452B3"/>
    <w:rsid w:val="00151F4D"/>
    <w:rsid w:val="00185D7E"/>
    <w:rsid w:val="001A7DEE"/>
    <w:rsid w:val="001F3772"/>
    <w:rsid w:val="0023284F"/>
    <w:rsid w:val="00296613"/>
    <w:rsid w:val="002A36DA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B5D83"/>
    <w:rsid w:val="005C0400"/>
    <w:rsid w:val="005C35CC"/>
    <w:rsid w:val="005C4AE9"/>
    <w:rsid w:val="005C5D22"/>
    <w:rsid w:val="006019CA"/>
    <w:rsid w:val="0067332B"/>
    <w:rsid w:val="00694A67"/>
    <w:rsid w:val="006C2DC6"/>
    <w:rsid w:val="006C78FC"/>
    <w:rsid w:val="00724833"/>
    <w:rsid w:val="00761BAB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A17D93"/>
    <w:rsid w:val="00A30622"/>
    <w:rsid w:val="00A44A8F"/>
    <w:rsid w:val="00A60B03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D363A"/>
    <w:rsid w:val="00CE4EED"/>
    <w:rsid w:val="00CF2ED1"/>
    <w:rsid w:val="00D84F58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E641D"/>
    <w:rsid w:val="00FE777B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10</cp:revision>
  <cp:lastPrinted>2021-02-19T08:58:00Z</cp:lastPrinted>
  <dcterms:created xsi:type="dcterms:W3CDTF">2021-03-10T14:06:00Z</dcterms:created>
  <dcterms:modified xsi:type="dcterms:W3CDTF">2021-03-17T07:08:00Z</dcterms:modified>
</cp:coreProperties>
</file>