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3F" w:rsidRPr="00FB33F1" w:rsidRDefault="0045483F" w:rsidP="00A2760A">
      <w:pPr>
        <w:ind w:left="3540" w:firstLine="708"/>
        <w:rPr>
          <w:rFonts w:ascii="Bookman Old Style" w:hAnsi="Bookman Old Style" w:cs="Arial"/>
          <w:noProof/>
          <w:lang w:val="ru-RU"/>
        </w:rPr>
      </w:pPr>
      <w:r w:rsidRPr="00FB33F1">
        <w:rPr>
          <w:rFonts w:ascii="Bookman Old Style" w:hAnsi="Bookman Old Style" w:cs="Arial"/>
          <w:noProof/>
          <w:lang w:eastAsia="uk-UA"/>
        </w:rPr>
        <w:drawing>
          <wp:inline distT="0" distB="0" distL="0" distR="0" wp14:anchorId="7A2B5F31" wp14:editId="6CEFC57F">
            <wp:extent cx="6191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3F1">
        <w:rPr>
          <w:rFonts w:ascii="Bookman Old Style" w:hAnsi="Bookman Old Style" w:cs="Arial"/>
          <w:noProof/>
          <w:lang w:val="ru-RU"/>
        </w:rPr>
        <w:t xml:space="preserve">                               проект</w:t>
      </w:r>
    </w:p>
    <w:p w:rsidR="0045483F" w:rsidRPr="00FB33F1" w:rsidRDefault="0045483F" w:rsidP="0045483F">
      <w:pPr>
        <w:ind w:left="3540" w:firstLine="708"/>
        <w:rPr>
          <w:rFonts w:ascii="Bookman Old Style" w:hAnsi="Bookman Old Style"/>
          <w:sz w:val="16"/>
          <w:szCs w:val="16"/>
          <w:lang w:val="ru-RU"/>
        </w:rPr>
      </w:pPr>
    </w:p>
    <w:p w:rsidR="0045483F" w:rsidRPr="00FB33F1" w:rsidRDefault="0045483F" w:rsidP="0045483F">
      <w:pPr>
        <w:jc w:val="center"/>
        <w:outlineLvl w:val="0"/>
        <w:rPr>
          <w:rFonts w:ascii="Bookman Old Style" w:hAnsi="Bookman Old Style"/>
          <w:lang w:val="ru-RU"/>
        </w:rPr>
      </w:pPr>
      <w:r w:rsidRPr="00FB33F1">
        <w:rPr>
          <w:rFonts w:ascii="Bookman Old Style" w:hAnsi="Bookman Old Style"/>
        </w:rPr>
        <w:t>У К Р А Ї Н А</w:t>
      </w:r>
    </w:p>
    <w:p w:rsidR="0045483F" w:rsidRPr="00FB33F1" w:rsidRDefault="0045483F" w:rsidP="00FB33F1">
      <w:pPr>
        <w:widowControl/>
        <w:suppressAutoHyphens w:val="0"/>
        <w:spacing w:line="360" w:lineRule="auto"/>
        <w:jc w:val="center"/>
        <w:outlineLvl w:val="0"/>
        <w:rPr>
          <w:rFonts w:ascii="Bookman Old Style" w:eastAsia="Calibri" w:hAnsi="Bookman Old Style"/>
          <w:bCs/>
          <w:kern w:val="0"/>
          <w:lang w:val="ru-RU" w:eastAsia="ru-RU"/>
        </w:rPr>
      </w:pPr>
      <w:r w:rsidRPr="00FB33F1">
        <w:rPr>
          <w:rFonts w:ascii="Bookman Old Style" w:eastAsia="Calibri" w:hAnsi="Bookman Old Style"/>
          <w:bCs/>
          <w:kern w:val="0"/>
          <w:lang w:eastAsia="ru-RU"/>
        </w:rPr>
        <w:t>Овруцька міська рада</w:t>
      </w:r>
    </w:p>
    <w:p w:rsidR="0045483F" w:rsidRPr="00FB33F1" w:rsidRDefault="0045483F" w:rsidP="00FB33F1">
      <w:pPr>
        <w:spacing w:line="360" w:lineRule="auto"/>
        <w:jc w:val="center"/>
        <w:rPr>
          <w:rFonts w:ascii="Bookman Old Style" w:hAnsi="Bookman Old Style"/>
          <w:b/>
          <w:i/>
        </w:rPr>
      </w:pPr>
      <w:r w:rsidRPr="00FB33F1">
        <w:rPr>
          <w:rFonts w:ascii="Bookman Old Style" w:hAnsi="Bookman Old Style"/>
          <w:b/>
          <w:i/>
        </w:rPr>
        <w:t xml:space="preserve">Р І Ш Е Н </w:t>
      </w:r>
      <w:proofErr w:type="spellStart"/>
      <w:r w:rsidRPr="00FB33F1">
        <w:rPr>
          <w:rFonts w:ascii="Bookman Old Style" w:hAnsi="Bookman Old Style"/>
          <w:b/>
          <w:i/>
        </w:rPr>
        <w:t>Н</w:t>
      </w:r>
      <w:proofErr w:type="spellEnd"/>
      <w:r w:rsidRPr="00FB33F1">
        <w:rPr>
          <w:rFonts w:ascii="Bookman Old Style" w:hAnsi="Bookman Old Style"/>
          <w:b/>
          <w:i/>
        </w:rPr>
        <w:t xml:space="preserve"> Я</w:t>
      </w:r>
    </w:p>
    <w:p w:rsidR="0045483F" w:rsidRPr="00FB33F1" w:rsidRDefault="0045483F" w:rsidP="0045483F">
      <w:pPr>
        <w:rPr>
          <w:rFonts w:ascii="Bookman Old Style" w:hAnsi="Bookman Old Style"/>
          <w:lang w:val="ru-RU"/>
        </w:rPr>
      </w:pPr>
    </w:p>
    <w:p w:rsidR="0045483F" w:rsidRPr="00FB33F1" w:rsidRDefault="0045483F" w:rsidP="0045483F">
      <w:pPr>
        <w:rPr>
          <w:rFonts w:ascii="Bookman Old Style" w:hAnsi="Bookman Old Style"/>
          <w:lang w:val="ru-RU"/>
        </w:rPr>
      </w:pPr>
    </w:p>
    <w:p w:rsidR="0045483F" w:rsidRPr="00FB33F1" w:rsidRDefault="0045483F" w:rsidP="0045483F">
      <w:pPr>
        <w:rPr>
          <w:rFonts w:ascii="Bookman Old Style" w:hAnsi="Bookman Old Style"/>
          <w:i/>
        </w:rPr>
      </w:pPr>
      <w:r w:rsidRPr="00FB33F1">
        <w:rPr>
          <w:rFonts w:ascii="Bookman Old Style" w:hAnsi="Bookman Old Style"/>
          <w:b/>
          <w:i/>
        </w:rPr>
        <w:t>Дев’ятнадцята   сесія</w:t>
      </w:r>
      <w:r w:rsidRPr="00FB33F1">
        <w:rPr>
          <w:rFonts w:ascii="Bookman Old Style" w:hAnsi="Bookman Old Style"/>
          <w:i/>
        </w:rPr>
        <w:tab/>
      </w:r>
      <w:r w:rsidRPr="00FB33F1">
        <w:rPr>
          <w:rFonts w:ascii="Bookman Old Style" w:hAnsi="Bookman Old Style"/>
          <w:i/>
        </w:rPr>
        <w:tab/>
      </w:r>
      <w:r w:rsidRPr="00FB33F1">
        <w:rPr>
          <w:rFonts w:ascii="Bookman Old Style" w:hAnsi="Bookman Old Style"/>
          <w:i/>
        </w:rPr>
        <w:tab/>
      </w:r>
      <w:r w:rsidRPr="00FB33F1">
        <w:rPr>
          <w:rFonts w:ascii="Bookman Old Style" w:hAnsi="Bookman Old Style"/>
          <w:i/>
        </w:rPr>
        <w:tab/>
      </w:r>
      <w:r w:rsidRPr="00FB33F1">
        <w:rPr>
          <w:rFonts w:ascii="Bookman Old Style" w:hAnsi="Bookman Old Style"/>
          <w:i/>
        </w:rPr>
        <w:tab/>
      </w:r>
      <w:r w:rsidR="00FB33F1" w:rsidRPr="00FB33F1">
        <w:rPr>
          <w:rFonts w:ascii="Bookman Old Style" w:hAnsi="Bookman Old Style"/>
          <w:i/>
        </w:rPr>
        <w:t xml:space="preserve">         </w:t>
      </w:r>
      <w:r w:rsidRPr="00FB33F1">
        <w:rPr>
          <w:rFonts w:ascii="Bookman Old Style" w:hAnsi="Bookman Old Style"/>
          <w:i/>
        </w:rPr>
        <w:t xml:space="preserve">     </w:t>
      </w:r>
      <w:r w:rsidRPr="00FB33F1">
        <w:rPr>
          <w:rFonts w:ascii="Bookman Old Style" w:hAnsi="Bookman Old Style"/>
          <w:b/>
          <w:i/>
          <w:lang w:val="en-US"/>
        </w:rPr>
        <w:t>VII</w:t>
      </w:r>
      <w:r w:rsidRPr="00FB33F1">
        <w:rPr>
          <w:rFonts w:ascii="Bookman Old Style" w:hAnsi="Bookman Old Style"/>
          <w:b/>
          <w:i/>
        </w:rPr>
        <w:t>І скликання</w:t>
      </w:r>
    </w:p>
    <w:p w:rsidR="0045483F" w:rsidRPr="00FB33F1" w:rsidRDefault="0045483F" w:rsidP="0045483F">
      <w:pPr>
        <w:rPr>
          <w:rFonts w:ascii="Bookman Old Style" w:hAnsi="Bookman Old Style"/>
        </w:rPr>
      </w:pPr>
    </w:p>
    <w:p w:rsidR="0045483F" w:rsidRPr="00FB33F1" w:rsidRDefault="0045483F" w:rsidP="0045483F">
      <w:pPr>
        <w:rPr>
          <w:rFonts w:ascii="Bookman Old Style" w:hAnsi="Bookman Old Style"/>
        </w:rPr>
      </w:pPr>
    </w:p>
    <w:p w:rsidR="0045483F" w:rsidRPr="00FB33F1" w:rsidRDefault="0045483F" w:rsidP="0045483F">
      <w:pPr>
        <w:rPr>
          <w:rFonts w:ascii="Bookman Old Style" w:hAnsi="Bookman Old Style"/>
        </w:rPr>
      </w:pPr>
      <w:r w:rsidRPr="00FB33F1">
        <w:rPr>
          <w:rFonts w:ascii="Bookman Old Style" w:hAnsi="Bookman Old Style"/>
        </w:rPr>
        <w:t xml:space="preserve">від   26 січня 2021 року     №           </w:t>
      </w:r>
    </w:p>
    <w:p w:rsidR="0045483F" w:rsidRPr="00FB33F1" w:rsidRDefault="0045483F" w:rsidP="0045483F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:rsidR="00FA7022" w:rsidRPr="00FB33F1" w:rsidRDefault="0045483F" w:rsidP="00623717">
      <w:pPr>
        <w:widowControl/>
        <w:suppressAutoHyphens w:val="0"/>
        <w:rPr>
          <w:rFonts w:ascii="Bookman Old Style" w:hAnsi="Bookman Old Style"/>
          <w:bCs/>
        </w:rPr>
      </w:pPr>
      <w:bookmarkStart w:id="0" w:name="_GoBack"/>
      <w:r w:rsidRPr="00FB33F1">
        <w:rPr>
          <w:rFonts w:ascii="Bookman Old Style" w:hAnsi="Bookman Old Style"/>
          <w:bCs/>
          <w:kern w:val="0"/>
          <w:lang w:eastAsia="ru-RU"/>
        </w:rPr>
        <w:t xml:space="preserve">Про </w:t>
      </w:r>
      <w:r w:rsidR="00623717" w:rsidRPr="00FB33F1">
        <w:rPr>
          <w:rFonts w:ascii="Bookman Old Style" w:hAnsi="Bookman Old Style"/>
          <w:bCs/>
          <w:kern w:val="0"/>
          <w:lang w:eastAsia="ru-RU"/>
        </w:rPr>
        <w:t xml:space="preserve">затвердження </w:t>
      </w:r>
      <w:r w:rsidR="00623717" w:rsidRPr="00FB33F1">
        <w:rPr>
          <w:rFonts w:ascii="Bookman Old Style" w:hAnsi="Bookman Old Style"/>
        </w:rPr>
        <w:t xml:space="preserve">Програми </w:t>
      </w:r>
      <w:r w:rsidR="00623717" w:rsidRPr="00FB33F1">
        <w:rPr>
          <w:rFonts w:ascii="Bookman Old Style" w:hAnsi="Bookman Old Style"/>
          <w:bCs/>
        </w:rPr>
        <w:t xml:space="preserve">з </w:t>
      </w:r>
    </w:p>
    <w:p w:rsidR="00FA7022" w:rsidRPr="00FB33F1" w:rsidRDefault="00623717" w:rsidP="00623717">
      <w:pPr>
        <w:widowControl/>
        <w:suppressAutoHyphens w:val="0"/>
        <w:rPr>
          <w:rFonts w:ascii="Bookman Old Style" w:hAnsi="Bookman Old Style"/>
          <w:bCs/>
        </w:rPr>
      </w:pPr>
      <w:r w:rsidRPr="00FB33F1">
        <w:rPr>
          <w:rFonts w:ascii="Bookman Old Style" w:hAnsi="Bookman Old Style"/>
          <w:bCs/>
        </w:rPr>
        <w:t>інфекційного контролю та дотримання</w:t>
      </w:r>
    </w:p>
    <w:p w:rsidR="00FA7022" w:rsidRPr="00FB33F1" w:rsidRDefault="00623717" w:rsidP="00623717">
      <w:pPr>
        <w:widowControl/>
        <w:suppressAutoHyphens w:val="0"/>
        <w:rPr>
          <w:rFonts w:ascii="Bookman Old Style" w:hAnsi="Bookman Old Style"/>
          <w:bCs/>
        </w:rPr>
      </w:pPr>
      <w:r w:rsidRPr="00FB33F1">
        <w:rPr>
          <w:rFonts w:ascii="Bookman Old Style" w:hAnsi="Bookman Old Style"/>
          <w:bCs/>
        </w:rPr>
        <w:t>заходів із запобігання інфекціям,</w:t>
      </w:r>
    </w:p>
    <w:p w:rsidR="00FA7022" w:rsidRPr="00FB33F1" w:rsidRDefault="00623717" w:rsidP="00623717">
      <w:pPr>
        <w:widowControl/>
        <w:suppressAutoHyphens w:val="0"/>
        <w:rPr>
          <w:rFonts w:ascii="Bookman Old Style" w:hAnsi="Bookman Old Style"/>
          <w:bCs/>
        </w:rPr>
      </w:pPr>
      <w:r w:rsidRPr="00FB33F1">
        <w:rPr>
          <w:rFonts w:ascii="Bookman Old Style" w:hAnsi="Bookman Old Style"/>
          <w:bCs/>
        </w:rPr>
        <w:t xml:space="preserve">пов’язаних з наданням медичної </w:t>
      </w:r>
    </w:p>
    <w:p w:rsidR="00FA7022" w:rsidRPr="00FB33F1" w:rsidRDefault="00623717" w:rsidP="00623717">
      <w:pPr>
        <w:widowControl/>
        <w:suppressAutoHyphens w:val="0"/>
        <w:rPr>
          <w:rFonts w:ascii="Bookman Old Style" w:hAnsi="Bookman Old Style"/>
          <w:bCs/>
        </w:rPr>
      </w:pPr>
      <w:r w:rsidRPr="00FB33F1">
        <w:rPr>
          <w:rFonts w:ascii="Bookman Old Style" w:hAnsi="Bookman Old Style"/>
          <w:bCs/>
        </w:rPr>
        <w:t xml:space="preserve">допомоги в КНП «Овруцький ЦПМСД» </w:t>
      </w:r>
    </w:p>
    <w:p w:rsidR="0045483F" w:rsidRPr="00FB33F1" w:rsidRDefault="00FB33F1" w:rsidP="00623717">
      <w:pPr>
        <w:widowControl/>
        <w:suppressAutoHyphens w:val="0"/>
        <w:rPr>
          <w:rFonts w:ascii="Bookman Old Style" w:hAnsi="Bookman Old Style"/>
          <w:bCs/>
        </w:rPr>
      </w:pPr>
      <w:r w:rsidRPr="00FB33F1">
        <w:rPr>
          <w:rFonts w:ascii="Bookman Old Style" w:hAnsi="Bookman Old Style"/>
          <w:bCs/>
        </w:rPr>
        <w:t>на</w:t>
      </w:r>
      <w:r w:rsidR="00623717" w:rsidRPr="00FB33F1">
        <w:rPr>
          <w:rFonts w:ascii="Bookman Old Style" w:hAnsi="Bookman Old Style"/>
          <w:bCs/>
        </w:rPr>
        <w:t xml:space="preserve"> 2022- 2024 роки</w:t>
      </w:r>
      <w:bookmarkEnd w:id="0"/>
    </w:p>
    <w:p w:rsidR="00C90A47" w:rsidRPr="00FB33F1" w:rsidRDefault="00C90A47" w:rsidP="00623717">
      <w:pPr>
        <w:widowControl/>
        <w:suppressAutoHyphens w:val="0"/>
        <w:rPr>
          <w:rFonts w:ascii="Bookman Old Style" w:hAnsi="Bookman Old Style"/>
        </w:rPr>
      </w:pPr>
    </w:p>
    <w:p w:rsidR="0045483F" w:rsidRPr="00FB33F1" w:rsidRDefault="0045483F" w:rsidP="00FB33F1">
      <w:pPr>
        <w:ind w:firstLine="708"/>
        <w:jc w:val="both"/>
        <w:rPr>
          <w:rFonts w:ascii="Bookman Old Style" w:hAnsi="Bookman Old Style"/>
        </w:rPr>
      </w:pPr>
      <w:r w:rsidRPr="00FB33F1">
        <w:rPr>
          <w:rFonts w:ascii="Bookman Old Style" w:hAnsi="Bookman Old Style"/>
        </w:rPr>
        <w:t xml:space="preserve">Керуючись </w:t>
      </w:r>
      <w:r w:rsidR="00623717" w:rsidRPr="00FB33F1">
        <w:rPr>
          <w:rFonts w:ascii="Bookman Old Style" w:hAnsi="Bookman Old Style"/>
        </w:rPr>
        <w:t>Законами України від 24.02.1994 року № 4004 "Про забезпечення санітарного та епідемічного благополуччя населення", від 05.06.2003 року № 913-ІУ «Про внесення зміни до Закону України "Про захист насе</w:t>
      </w:r>
      <w:r w:rsidR="00FB33F1">
        <w:rPr>
          <w:rFonts w:ascii="Bookman Old Style" w:hAnsi="Bookman Old Style"/>
        </w:rPr>
        <w:t xml:space="preserve">лення від інфекційних </w:t>
      </w:r>
      <w:proofErr w:type="spellStart"/>
      <w:r w:rsidR="00FB33F1">
        <w:rPr>
          <w:rFonts w:ascii="Bookman Old Style" w:hAnsi="Bookman Old Style"/>
        </w:rPr>
        <w:t>хвороб</w:t>
      </w:r>
      <w:proofErr w:type="spellEnd"/>
      <w:r w:rsidR="00FB33F1">
        <w:rPr>
          <w:rFonts w:ascii="Bookman Old Style" w:hAnsi="Bookman Old Style"/>
        </w:rPr>
        <w:t xml:space="preserve">", </w:t>
      </w:r>
      <w:r w:rsidR="00623717" w:rsidRPr="00FB33F1">
        <w:rPr>
          <w:rFonts w:ascii="Bookman Old Style" w:hAnsi="Bookman Old Style"/>
        </w:rPr>
        <w:t>«Про боротьбу із захворюванням на туберкульоз»,</w:t>
      </w:r>
      <w:r w:rsidR="00C90A47" w:rsidRPr="00FB33F1">
        <w:rPr>
          <w:rFonts w:ascii="Bookman Old Style" w:hAnsi="Bookman Old Style"/>
        </w:rPr>
        <w:t xml:space="preserve"> </w:t>
      </w:r>
      <w:r w:rsidR="00623717" w:rsidRPr="00FB33F1">
        <w:rPr>
          <w:rFonts w:ascii="Bookman Old Style" w:hAnsi="Bookman Old Style"/>
        </w:rPr>
        <w:t xml:space="preserve">Наказом  Міністерства охорони здоров’я України від </w:t>
      </w:r>
      <w:r w:rsidR="00FB33F1">
        <w:rPr>
          <w:rFonts w:ascii="Bookman Old Style" w:hAnsi="Bookman Old Style"/>
        </w:rPr>
        <w:t xml:space="preserve">       </w:t>
      </w:r>
      <w:r w:rsidR="00623717" w:rsidRPr="00FB33F1">
        <w:rPr>
          <w:rFonts w:ascii="Bookman Old Style" w:hAnsi="Bookman Old Style"/>
        </w:rPr>
        <w:t>03 серпня 2021 року N1614 «Про організацію профілактики інфекцій та інфекційного контролю в закладах охорони здоров’я та установах/закладах надання соціальних послуг/соціального захисту населення»</w:t>
      </w:r>
      <w:r w:rsidRPr="00FB33F1">
        <w:rPr>
          <w:rFonts w:ascii="Bookman Old Style" w:hAnsi="Bookman Old Style"/>
        </w:rPr>
        <w:t>, враховуючи</w:t>
      </w:r>
      <w:r w:rsidRPr="00FB33F1">
        <w:rPr>
          <w:rFonts w:ascii="Bookman Old Style" w:eastAsia="Bookman Old Style" w:hAnsi="Bookman Old Style" w:cs="Bookman Old Style"/>
          <w:kern w:val="0"/>
          <w:lang w:eastAsia="ru-RU"/>
        </w:rPr>
        <w:t xml:space="preserve"> рекомендації постійн</w:t>
      </w:r>
      <w:r w:rsidR="00623717" w:rsidRPr="00FB33F1">
        <w:rPr>
          <w:rFonts w:ascii="Bookman Old Style" w:eastAsia="Bookman Old Style" w:hAnsi="Bookman Old Style" w:cs="Bookman Old Style"/>
          <w:kern w:val="0"/>
          <w:lang w:eastAsia="ru-RU"/>
        </w:rPr>
        <w:t>ої</w:t>
      </w:r>
      <w:r w:rsidRPr="00FB33F1">
        <w:rPr>
          <w:rFonts w:ascii="Bookman Old Style" w:eastAsia="Bookman Old Style" w:hAnsi="Bookman Old Style" w:cs="Bookman Old Style"/>
          <w:kern w:val="0"/>
          <w:lang w:eastAsia="ru-RU"/>
        </w:rPr>
        <w:t xml:space="preserve"> депутатськ</w:t>
      </w:r>
      <w:r w:rsidR="00623717" w:rsidRPr="00FB33F1">
        <w:rPr>
          <w:rFonts w:ascii="Bookman Old Style" w:eastAsia="Bookman Old Style" w:hAnsi="Bookman Old Style" w:cs="Bookman Old Style"/>
          <w:kern w:val="0"/>
          <w:lang w:eastAsia="ru-RU"/>
        </w:rPr>
        <w:t>ої</w:t>
      </w:r>
      <w:r w:rsidRPr="00FB33F1">
        <w:rPr>
          <w:rFonts w:ascii="Bookman Old Style" w:eastAsia="Bookman Old Style" w:hAnsi="Bookman Old Style" w:cs="Bookman Old Style"/>
          <w:kern w:val="0"/>
          <w:lang w:eastAsia="ru-RU"/>
        </w:rPr>
        <w:t xml:space="preserve"> комісі</w:t>
      </w:r>
      <w:r w:rsidR="00B76FBD" w:rsidRPr="00FB33F1">
        <w:rPr>
          <w:rFonts w:ascii="Bookman Old Style" w:eastAsia="Bookman Old Style" w:hAnsi="Bookman Old Style" w:cs="Bookman Old Style"/>
          <w:kern w:val="0"/>
          <w:lang w:eastAsia="ru-RU"/>
        </w:rPr>
        <w:t>ї</w:t>
      </w:r>
      <w:r w:rsidRPr="00FB33F1">
        <w:rPr>
          <w:rFonts w:ascii="Bookman Old Style" w:eastAsia="Bookman Old Style" w:hAnsi="Bookman Old Style" w:cs="Bookman Old Style"/>
          <w:kern w:val="0"/>
          <w:lang w:eastAsia="ru-RU"/>
        </w:rPr>
        <w:t xml:space="preserve"> міської ради з гуманітарних питань, освіти, медицини, культури, фізичного виховання та соціального захисту населення від </w:t>
      </w:r>
      <w:r w:rsidR="00623717" w:rsidRPr="00FB33F1">
        <w:rPr>
          <w:rFonts w:ascii="Bookman Old Style" w:eastAsia="Bookman Old Style" w:hAnsi="Bookman Old Style" w:cs="Bookman Old Style"/>
          <w:kern w:val="0"/>
          <w:lang w:eastAsia="ru-RU"/>
        </w:rPr>
        <w:t>__________</w:t>
      </w:r>
      <w:r w:rsidRPr="00FB33F1">
        <w:rPr>
          <w:rFonts w:ascii="Bookman Old Style" w:eastAsia="Bookman Old Style" w:hAnsi="Bookman Old Style" w:cs="Bookman Old Style"/>
          <w:kern w:val="0"/>
          <w:lang w:eastAsia="ru-RU"/>
        </w:rPr>
        <w:t>2021 р.,</w:t>
      </w:r>
      <w:r w:rsidRPr="00FB33F1">
        <w:rPr>
          <w:rFonts w:ascii="Bookman Old Style" w:hAnsi="Bookman Old Style"/>
        </w:rPr>
        <w:t xml:space="preserve"> міська рада</w:t>
      </w:r>
      <w:bookmarkStart w:id="1" w:name="n4"/>
      <w:bookmarkEnd w:id="1"/>
    </w:p>
    <w:p w:rsidR="0045483F" w:rsidRPr="00FB33F1" w:rsidRDefault="0045483F" w:rsidP="0045483F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:rsidR="0045483F" w:rsidRPr="00FB33F1" w:rsidRDefault="0045483F" w:rsidP="0045483F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  <w:r w:rsidRPr="00FB33F1">
        <w:rPr>
          <w:rFonts w:ascii="Bookman Old Style" w:hAnsi="Bookman Old Style"/>
          <w:kern w:val="0"/>
          <w:lang w:eastAsia="ru-RU"/>
        </w:rPr>
        <w:t>В И Р І Ш И Л А:</w:t>
      </w:r>
    </w:p>
    <w:p w:rsidR="0045483F" w:rsidRPr="00FB33F1" w:rsidRDefault="0045483F" w:rsidP="0045483F">
      <w:pPr>
        <w:widowControl/>
        <w:suppressAutoHyphens w:val="0"/>
        <w:spacing w:line="360" w:lineRule="auto"/>
        <w:rPr>
          <w:rFonts w:ascii="Bookman Old Style" w:hAnsi="Bookman Old Style"/>
          <w:kern w:val="0"/>
          <w:lang w:eastAsia="ru-RU"/>
        </w:rPr>
      </w:pPr>
    </w:p>
    <w:p w:rsidR="0045483F" w:rsidRPr="00FB33F1" w:rsidRDefault="0045483F" w:rsidP="00623717">
      <w:pPr>
        <w:spacing w:line="317" w:lineRule="exact"/>
        <w:ind w:right="60" w:firstLine="708"/>
        <w:jc w:val="both"/>
        <w:rPr>
          <w:rFonts w:ascii="Bookman Old Style" w:hAnsi="Bookman Old Style"/>
        </w:rPr>
      </w:pPr>
      <w:r w:rsidRPr="00FB33F1">
        <w:rPr>
          <w:rFonts w:ascii="Bookman Old Style" w:hAnsi="Bookman Old Style"/>
        </w:rPr>
        <w:t xml:space="preserve">1. </w:t>
      </w:r>
      <w:r w:rsidR="00BE4223" w:rsidRPr="00FB33F1">
        <w:rPr>
          <w:rFonts w:ascii="Bookman Old Style" w:hAnsi="Bookman Old Style"/>
        </w:rPr>
        <w:t xml:space="preserve">Затвердити </w:t>
      </w:r>
      <w:r w:rsidRPr="00FB33F1">
        <w:rPr>
          <w:rFonts w:ascii="Bookman Old Style" w:hAnsi="Bookman Old Style"/>
        </w:rPr>
        <w:t>Програм</w:t>
      </w:r>
      <w:r w:rsidR="00BE4223" w:rsidRPr="00FB33F1">
        <w:rPr>
          <w:rFonts w:ascii="Bookman Old Style" w:hAnsi="Bookman Old Style"/>
        </w:rPr>
        <w:t>у</w:t>
      </w:r>
      <w:r w:rsidRPr="00FB33F1">
        <w:rPr>
          <w:rFonts w:ascii="Bookman Old Style" w:hAnsi="Bookman Old Style"/>
        </w:rPr>
        <w:t xml:space="preserve"> </w:t>
      </w:r>
      <w:r w:rsidR="00BE4223" w:rsidRPr="00FB33F1">
        <w:rPr>
          <w:rFonts w:ascii="Bookman Old Style" w:hAnsi="Bookman Old Style"/>
          <w:bCs/>
        </w:rPr>
        <w:t xml:space="preserve">з інфекційного контролю та дотримання заходів із запобігання інфекціям, пов’язаних з наданням медичної допомоги в КНП «Овруцький ЦПМСД»  </w:t>
      </w:r>
      <w:r w:rsidR="00FA7022" w:rsidRPr="00FB33F1">
        <w:rPr>
          <w:rFonts w:ascii="Bookman Old Style" w:hAnsi="Bookman Old Style"/>
          <w:bCs/>
        </w:rPr>
        <w:t>на</w:t>
      </w:r>
      <w:r w:rsidR="00FB33F1">
        <w:rPr>
          <w:rFonts w:ascii="Bookman Old Style" w:hAnsi="Bookman Old Style"/>
          <w:bCs/>
        </w:rPr>
        <w:t xml:space="preserve"> 2022-</w:t>
      </w:r>
      <w:r w:rsidR="00BE4223" w:rsidRPr="00FB33F1">
        <w:rPr>
          <w:rFonts w:ascii="Bookman Old Style" w:hAnsi="Bookman Old Style"/>
          <w:bCs/>
        </w:rPr>
        <w:t>2024 роки</w:t>
      </w:r>
      <w:r w:rsidR="00BE4223" w:rsidRPr="00FB33F1">
        <w:rPr>
          <w:rFonts w:ascii="Bookman Old Style" w:hAnsi="Bookman Old Style"/>
        </w:rPr>
        <w:t xml:space="preserve"> </w:t>
      </w:r>
      <w:r w:rsidRPr="00FB33F1">
        <w:rPr>
          <w:rFonts w:ascii="Bookman Old Style" w:hAnsi="Bookman Old Style"/>
        </w:rPr>
        <w:t xml:space="preserve">( додаток </w:t>
      </w:r>
      <w:r w:rsidR="00FB33F1">
        <w:rPr>
          <w:rFonts w:ascii="Bookman Old Style" w:hAnsi="Bookman Old Style"/>
        </w:rPr>
        <w:t>1</w:t>
      </w:r>
      <w:r w:rsidR="00BE4223" w:rsidRPr="00FB33F1">
        <w:rPr>
          <w:rFonts w:ascii="Bookman Old Style" w:hAnsi="Bookman Old Style"/>
        </w:rPr>
        <w:t>)</w:t>
      </w:r>
      <w:r w:rsidRPr="00FB33F1">
        <w:rPr>
          <w:rFonts w:ascii="Bookman Old Style" w:hAnsi="Bookman Old Style"/>
        </w:rPr>
        <w:t>.</w:t>
      </w:r>
    </w:p>
    <w:p w:rsidR="0045483F" w:rsidRPr="00FB33F1" w:rsidRDefault="0045483F" w:rsidP="0045483F">
      <w:pPr>
        <w:ind w:firstLine="708"/>
        <w:jc w:val="both"/>
        <w:rPr>
          <w:rFonts w:ascii="Bookman Old Style" w:hAnsi="Bookman Old Style"/>
        </w:rPr>
      </w:pPr>
      <w:r w:rsidRPr="00FB33F1">
        <w:rPr>
          <w:rFonts w:ascii="Bookman Old Style" w:hAnsi="Bookman Old Style"/>
        </w:rPr>
        <w:t xml:space="preserve">2. Контроль за виконанням Програми покласти </w:t>
      </w:r>
      <w:r w:rsidR="00BE4223" w:rsidRPr="00FB33F1">
        <w:rPr>
          <w:rFonts w:ascii="Bookman Old Style" w:hAnsi="Bookman Old Style"/>
        </w:rPr>
        <w:t>на директора КНП «Овруцьк</w:t>
      </w:r>
      <w:r w:rsidR="00623717" w:rsidRPr="00FB33F1">
        <w:rPr>
          <w:rFonts w:ascii="Bookman Old Style" w:hAnsi="Bookman Old Style"/>
        </w:rPr>
        <w:t>ий ЦПМСД»</w:t>
      </w:r>
      <w:r w:rsidR="00FB33F1">
        <w:rPr>
          <w:rFonts w:ascii="Bookman Old Style" w:hAnsi="Bookman Old Style"/>
        </w:rPr>
        <w:t xml:space="preserve"> Шевчука О.І.</w:t>
      </w:r>
      <w:r w:rsidR="00BE4223" w:rsidRPr="00FB33F1">
        <w:rPr>
          <w:rFonts w:ascii="Bookman Old Style" w:hAnsi="Bookman Old Style"/>
        </w:rPr>
        <w:t xml:space="preserve"> та пості</w:t>
      </w:r>
      <w:r w:rsidR="00FB33F1">
        <w:rPr>
          <w:rFonts w:ascii="Bookman Old Style" w:hAnsi="Bookman Old Style"/>
        </w:rPr>
        <w:t>йну комісію Овруцької міської</w:t>
      </w:r>
      <w:r w:rsidR="00BE4223" w:rsidRPr="00FB33F1">
        <w:rPr>
          <w:rFonts w:ascii="Bookman Old Style" w:hAnsi="Bookman Old Style"/>
        </w:rPr>
        <w:t xml:space="preserve"> ради з гуманітарних питань, освіти, медицини, культури, фізичного виховання та соціального захисту населення</w:t>
      </w:r>
      <w:r w:rsidRPr="00FB33F1">
        <w:rPr>
          <w:rFonts w:ascii="Bookman Old Style" w:hAnsi="Bookman Old Style"/>
        </w:rPr>
        <w:t>.</w:t>
      </w:r>
    </w:p>
    <w:p w:rsidR="0045483F" w:rsidRPr="00FB33F1" w:rsidRDefault="0045483F" w:rsidP="0045483F">
      <w:pPr>
        <w:ind w:firstLine="708"/>
        <w:jc w:val="both"/>
        <w:rPr>
          <w:rFonts w:ascii="Bookman Old Style" w:hAnsi="Bookman Old Style"/>
        </w:rPr>
      </w:pPr>
    </w:p>
    <w:p w:rsidR="0045483F" w:rsidRPr="00FB33F1" w:rsidRDefault="0045483F" w:rsidP="0045483F">
      <w:pPr>
        <w:jc w:val="both"/>
        <w:rPr>
          <w:rFonts w:ascii="Bookman Old Style" w:hAnsi="Bookman Old Style"/>
        </w:rPr>
      </w:pPr>
    </w:p>
    <w:p w:rsidR="0045483F" w:rsidRPr="00FB33F1" w:rsidRDefault="0045483F" w:rsidP="0045483F">
      <w:pPr>
        <w:jc w:val="both"/>
        <w:rPr>
          <w:rFonts w:ascii="Bookman Old Style" w:hAnsi="Bookman Old Style"/>
        </w:rPr>
      </w:pPr>
    </w:p>
    <w:p w:rsidR="0045483F" w:rsidRPr="00FB33F1" w:rsidRDefault="0045483F" w:rsidP="0045483F">
      <w:pPr>
        <w:jc w:val="both"/>
        <w:rPr>
          <w:rFonts w:ascii="Bookman Old Style" w:hAnsi="Bookman Old Style"/>
        </w:rPr>
      </w:pPr>
    </w:p>
    <w:p w:rsidR="0045483F" w:rsidRPr="00FB33F1" w:rsidRDefault="0045483F" w:rsidP="0045483F">
      <w:pPr>
        <w:jc w:val="center"/>
        <w:rPr>
          <w:rFonts w:ascii="Bookman Old Style" w:hAnsi="Bookman Old Style"/>
        </w:rPr>
      </w:pPr>
      <w:r w:rsidRPr="00FB33F1">
        <w:rPr>
          <w:rFonts w:ascii="Bookman Old Style" w:hAnsi="Bookman Old Style"/>
        </w:rPr>
        <w:t>Міський голова</w:t>
      </w:r>
      <w:r w:rsidRPr="00FB33F1">
        <w:rPr>
          <w:rFonts w:ascii="Bookman Old Style" w:hAnsi="Bookman Old Style"/>
        </w:rPr>
        <w:tab/>
      </w:r>
      <w:r w:rsidRPr="00FB33F1">
        <w:rPr>
          <w:rFonts w:ascii="Bookman Old Style" w:hAnsi="Bookman Old Style"/>
        </w:rPr>
        <w:tab/>
      </w:r>
      <w:r w:rsidRPr="00FB33F1">
        <w:rPr>
          <w:rFonts w:ascii="Bookman Old Style" w:hAnsi="Bookman Old Style"/>
        </w:rPr>
        <w:tab/>
      </w:r>
      <w:r w:rsidRPr="00FB33F1">
        <w:rPr>
          <w:rFonts w:ascii="Bookman Old Style" w:hAnsi="Bookman Old Style"/>
        </w:rPr>
        <w:tab/>
      </w:r>
      <w:r w:rsidRPr="00FB33F1">
        <w:rPr>
          <w:rFonts w:ascii="Bookman Old Style" w:hAnsi="Bookman Old Style"/>
        </w:rPr>
        <w:tab/>
      </w:r>
      <w:r w:rsidRPr="00FB33F1">
        <w:rPr>
          <w:rFonts w:ascii="Bookman Old Style" w:hAnsi="Bookman Old Style"/>
        </w:rPr>
        <w:tab/>
      </w:r>
      <w:r w:rsidRPr="00FB33F1">
        <w:rPr>
          <w:rFonts w:ascii="Bookman Old Style" w:hAnsi="Bookman Old Style"/>
        </w:rPr>
        <w:tab/>
      </w:r>
      <w:r w:rsidRPr="00FB33F1">
        <w:rPr>
          <w:rFonts w:ascii="Bookman Old Style" w:hAnsi="Bookman Old Style"/>
        </w:rPr>
        <w:tab/>
        <w:t>Іван КОРУД</w:t>
      </w:r>
    </w:p>
    <w:p w:rsidR="00FB33F1" w:rsidRDefault="00FB33F1" w:rsidP="0045483F">
      <w:pPr>
        <w:jc w:val="center"/>
        <w:rPr>
          <w:rFonts w:ascii="Bookman Old Style" w:hAnsi="Bookman Old Style"/>
          <w:color w:val="000000"/>
        </w:rPr>
      </w:pPr>
    </w:p>
    <w:p w:rsidR="0045483F" w:rsidRDefault="0045483F" w:rsidP="0045483F">
      <w:pPr>
        <w:jc w:val="center"/>
        <w:rPr>
          <w:rFonts w:ascii="Bookman Old Style" w:hAnsi="Bookman Old Style"/>
          <w:color w:val="000000"/>
        </w:rPr>
      </w:pPr>
    </w:p>
    <w:p w:rsidR="0045483F" w:rsidRPr="003442F3" w:rsidRDefault="00B76FBD" w:rsidP="003442F3">
      <w:pPr>
        <w:shd w:val="clear" w:color="auto" w:fill="FFFFFF"/>
        <w:ind w:left="5670"/>
        <w:jc w:val="both"/>
        <w:rPr>
          <w:rFonts w:eastAsia="Calibri"/>
          <w:bCs/>
          <w:bdr w:val="none" w:sz="0" w:space="0" w:color="auto" w:frame="1"/>
          <w:shd w:val="clear" w:color="auto" w:fill="FFFFFF"/>
        </w:rPr>
      </w:pPr>
      <w:r>
        <w:rPr>
          <w:rFonts w:eastAsia="Calibri"/>
          <w:bCs/>
          <w:bdr w:val="none" w:sz="0" w:space="0" w:color="auto" w:frame="1"/>
          <w:shd w:val="clear" w:color="auto" w:fill="FFFFFF"/>
        </w:rPr>
        <w:lastRenderedPageBreak/>
        <w:t>Д</w:t>
      </w:r>
      <w:r w:rsidR="00BE4223" w:rsidRPr="003442F3">
        <w:rPr>
          <w:rFonts w:eastAsia="Calibri"/>
          <w:bCs/>
          <w:bdr w:val="none" w:sz="0" w:space="0" w:color="auto" w:frame="1"/>
          <w:shd w:val="clear" w:color="auto" w:fill="FFFFFF"/>
        </w:rPr>
        <w:t>одаток</w:t>
      </w:r>
      <w:r w:rsidR="00FB33F1">
        <w:rPr>
          <w:rFonts w:eastAsia="Calibri"/>
          <w:bCs/>
          <w:bdr w:val="none" w:sz="0" w:space="0" w:color="auto" w:frame="1"/>
          <w:shd w:val="clear" w:color="auto" w:fill="FFFFFF"/>
        </w:rPr>
        <w:t xml:space="preserve"> 1</w:t>
      </w:r>
    </w:p>
    <w:p w:rsidR="0045483F" w:rsidRPr="003442F3" w:rsidRDefault="00BE4223" w:rsidP="003442F3">
      <w:pPr>
        <w:shd w:val="clear" w:color="auto" w:fill="FFFFFF"/>
        <w:ind w:left="5670"/>
        <w:jc w:val="both"/>
        <w:rPr>
          <w:rFonts w:eastAsia="Calibri"/>
          <w:bCs/>
          <w:bdr w:val="none" w:sz="0" w:space="0" w:color="auto" w:frame="1"/>
          <w:shd w:val="clear" w:color="auto" w:fill="FFFFFF"/>
        </w:rPr>
      </w:pPr>
      <w:r w:rsidRPr="003442F3">
        <w:rPr>
          <w:rFonts w:eastAsia="Calibri"/>
          <w:bCs/>
          <w:bdr w:val="none" w:sz="0" w:space="0" w:color="auto" w:frame="1"/>
          <w:shd w:val="clear" w:color="auto" w:fill="FFFFFF"/>
        </w:rPr>
        <w:t xml:space="preserve">до </w:t>
      </w:r>
      <w:r w:rsidR="0045483F" w:rsidRPr="003442F3">
        <w:rPr>
          <w:rFonts w:eastAsia="Calibri"/>
          <w:bCs/>
          <w:bdr w:val="none" w:sz="0" w:space="0" w:color="auto" w:frame="1"/>
          <w:shd w:val="clear" w:color="auto" w:fill="FFFFFF"/>
        </w:rPr>
        <w:t xml:space="preserve">рішення Овруцької міської ради </w:t>
      </w:r>
    </w:p>
    <w:p w:rsidR="0045483F" w:rsidRPr="003442F3" w:rsidRDefault="0045483F" w:rsidP="003442F3">
      <w:pPr>
        <w:ind w:left="5664"/>
        <w:jc w:val="both"/>
        <w:rPr>
          <w:rFonts w:eastAsia="Calibri"/>
          <w:bCs/>
          <w:color w:val="333333"/>
          <w:bdr w:val="none" w:sz="0" w:space="0" w:color="auto" w:frame="1"/>
        </w:rPr>
      </w:pPr>
      <w:r w:rsidRPr="003442F3">
        <w:rPr>
          <w:rFonts w:eastAsia="Calibri"/>
          <w:bCs/>
          <w:bdr w:val="none" w:sz="0" w:space="0" w:color="auto" w:frame="1"/>
          <w:shd w:val="clear" w:color="auto" w:fill="FFFFFF"/>
        </w:rPr>
        <w:t xml:space="preserve">від 26  січня  2022 року  </w:t>
      </w:r>
      <w:r w:rsidRPr="003442F3">
        <w:rPr>
          <w:rFonts w:eastAsia="Calibri"/>
        </w:rPr>
        <w:t xml:space="preserve">№ </w:t>
      </w:r>
    </w:p>
    <w:p w:rsidR="0045483F" w:rsidRPr="003442F3" w:rsidRDefault="0045483F" w:rsidP="003442F3">
      <w:pPr>
        <w:spacing w:line="276" w:lineRule="auto"/>
        <w:jc w:val="both"/>
        <w:rPr>
          <w:rFonts w:ascii="Calibri" w:eastAsia="Calibri" w:hAnsi="Calibri"/>
          <w:b/>
        </w:rPr>
      </w:pPr>
    </w:p>
    <w:p w:rsidR="0045483F" w:rsidRPr="003442F3" w:rsidRDefault="0045483F" w:rsidP="00623717">
      <w:pPr>
        <w:spacing w:line="317" w:lineRule="exact"/>
        <w:ind w:right="60"/>
        <w:jc w:val="center"/>
        <w:outlineLvl w:val="1"/>
        <w:rPr>
          <w:b/>
          <w:bCs/>
        </w:rPr>
      </w:pPr>
      <w:r w:rsidRPr="003442F3">
        <w:rPr>
          <w:b/>
          <w:bCs/>
        </w:rPr>
        <w:t>Програма</w:t>
      </w:r>
    </w:p>
    <w:p w:rsidR="004A6FA7" w:rsidRDefault="0045483F" w:rsidP="00623717">
      <w:pPr>
        <w:spacing w:line="317" w:lineRule="exact"/>
        <w:ind w:right="60"/>
        <w:jc w:val="center"/>
        <w:rPr>
          <w:b/>
          <w:bCs/>
        </w:rPr>
      </w:pPr>
      <w:r w:rsidRPr="003442F3">
        <w:rPr>
          <w:b/>
          <w:bCs/>
        </w:rPr>
        <w:t>з інфекційного контролю та дотримання заходів із запобігання інфекціям, пов’язаних з наданням медичної допомоги</w:t>
      </w:r>
      <w:r w:rsidR="004A6FA7">
        <w:rPr>
          <w:b/>
          <w:bCs/>
        </w:rPr>
        <w:t xml:space="preserve"> </w:t>
      </w:r>
      <w:r w:rsidRPr="003442F3">
        <w:rPr>
          <w:b/>
          <w:bCs/>
        </w:rPr>
        <w:t xml:space="preserve">в КНП «Овруцький ЦПМСД» </w:t>
      </w:r>
    </w:p>
    <w:p w:rsidR="0045483F" w:rsidRPr="003442F3" w:rsidRDefault="0045483F" w:rsidP="00623717">
      <w:pPr>
        <w:spacing w:line="317" w:lineRule="exact"/>
        <w:ind w:right="60"/>
        <w:jc w:val="center"/>
        <w:rPr>
          <w:b/>
          <w:bCs/>
        </w:rPr>
      </w:pPr>
      <w:r w:rsidRPr="003442F3">
        <w:rPr>
          <w:b/>
          <w:bCs/>
        </w:rPr>
        <w:t xml:space="preserve"> </w:t>
      </w:r>
      <w:r w:rsidR="00623717">
        <w:rPr>
          <w:b/>
          <w:bCs/>
        </w:rPr>
        <w:t xml:space="preserve">на </w:t>
      </w:r>
      <w:r w:rsidRPr="003442F3">
        <w:rPr>
          <w:b/>
          <w:bCs/>
        </w:rPr>
        <w:t xml:space="preserve"> 2022- 2024роки</w:t>
      </w:r>
    </w:p>
    <w:p w:rsidR="0045483F" w:rsidRPr="003442F3" w:rsidRDefault="0045483F" w:rsidP="003442F3">
      <w:pPr>
        <w:spacing w:line="317" w:lineRule="exact"/>
        <w:ind w:right="60"/>
        <w:jc w:val="both"/>
        <w:rPr>
          <w:b/>
          <w:bCs/>
        </w:rPr>
      </w:pPr>
      <w:r w:rsidRPr="003442F3">
        <w:rPr>
          <w:b/>
          <w:bCs/>
        </w:rPr>
        <w:t xml:space="preserve"> </w:t>
      </w:r>
      <w:r w:rsidR="00E6369B">
        <w:rPr>
          <w:b/>
          <w:bCs/>
        </w:rPr>
        <w:tab/>
      </w:r>
      <w:r w:rsidR="00E6369B">
        <w:rPr>
          <w:b/>
          <w:bCs/>
        </w:rPr>
        <w:tab/>
      </w:r>
      <w:r w:rsidR="00E6369B">
        <w:rPr>
          <w:b/>
          <w:bCs/>
        </w:rPr>
        <w:tab/>
      </w:r>
      <w:r w:rsidR="00E6369B">
        <w:rPr>
          <w:b/>
          <w:bCs/>
        </w:rPr>
        <w:tab/>
      </w:r>
      <w:r w:rsidR="00E6369B">
        <w:rPr>
          <w:b/>
          <w:bCs/>
        </w:rPr>
        <w:tab/>
      </w:r>
      <w:r w:rsidRPr="003442F3">
        <w:rPr>
          <w:b/>
          <w:bCs/>
        </w:rPr>
        <w:t>(далі- Програма)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06"/>
        <w:gridCol w:w="3754"/>
      </w:tblGrid>
      <w:tr w:rsidR="0045483F" w:rsidRPr="003442F3" w:rsidTr="00464E3D">
        <w:trPr>
          <w:trHeight w:val="524"/>
        </w:trPr>
        <w:tc>
          <w:tcPr>
            <w:tcW w:w="9529" w:type="dxa"/>
            <w:gridSpan w:val="3"/>
          </w:tcPr>
          <w:p w:rsidR="0045483F" w:rsidRPr="003442F3" w:rsidRDefault="0045483F" w:rsidP="003442F3">
            <w:pPr>
              <w:spacing w:line="280" w:lineRule="exact"/>
              <w:jc w:val="both"/>
              <w:rPr>
                <w:rFonts w:ascii="Calibri" w:eastAsia="Calibri" w:hAnsi="Calibri"/>
                <w:lang w:val="ru-RU"/>
              </w:rPr>
            </w:pPr>
            <w:r w:rsidRPr="003442F3">
              <w:rPr>
                <w:rFonts w:eastAsia="Calibri"/>
                <w:b/>
                <w:bCs/>
                <w:color w:val="000000"/>
                <w:u w:val="single"/>
                <w:lang w:eastAsia="uk-UA" w:bidi="uk-UA"/>
              </w:rPr>
              <w:t>1. Загальна характеристика   Програми</w:t>
            </w:r>
          </w:p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</w:p>
        </w:tc>
      </w:tr>
      <w:tr w:rsidR="0045483F" w:rsidRPr="003442F3" w:rsidTr="00464E3D">
        <w:trPr>
          <w:trHeight w:val="311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1</w:t>
            </w:r>
          </w:p>
        </w:tc>
        <w:tc>
          <w:tcPr>
            <w:tcW w:w="5106" w:type="dxa"/>
            <w:vAlign w:val="bottom"/>
          </w:tcPr>
          <w:p w:rsidR="0045483F" w:rsidRPr="003442F3" w:rsidRDefault="0045483F" w:rsidP="003442F3">
            <w:pPr>
              <w:spacing w:line="326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Ініціатор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розробки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3752" w:type="dxa"/>
          </w:tcPr>
          <w:p w:rsidR="0045483F" w:rsidRPr="003442F3" w:rsidRDefault="0045483F" w:rsidP="003442F3">
            <w:pPr>
              <w:spacing w:line="280" w:lineRule="exact"/>
              <w:jc w:val="both"/>
            </w:pPr>
            <w:r w:rsidRPr="003442F3">
              <w:rPr>
                <w:lang w:val="ru-RU"/>
              </w:rPr>
              <w:t>КНП  «</w:t>
            </w:r>
            <w:proofErr w:type="spellStart"/>
            <w:r w:rsidRPr="003442F3">
              <w:rPr>
                <w:lang w:val="ru-RU"/>
              </w:rPr>
              <w:t>Овруцький</w:t>
            </w:r>
            <w:proofErr w:type="spellEnd"/>
            <w:r w:rsidRPr="003442F3">
              <w:rPr>
                <w:lang w:val="ru-RU"/>
              </w:rPr>
              <w:t xml:space="preserve"> ЦПМСД»  </w:t>
            </w:r>
          </w:p>
        </w:tc>
      </w:tr>
      <w:tr w:rsidR="0045483F" w:rsidRPr="003442F3" w:rsidTr="00F02217">
        <w:trPr>
          <w:trHeight w:val="6365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2</w:t>
            </w:r>
          </w:p>
        </w:tc>
        <w:tc>
          <w:tcPr>
            <w:tcW w:w="5106" w:type="dxa"/>
          </w:tcPr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r w:rsidRPr="003442F3">
              <w:rPr>
                <w:lang w:val="ru-RU"/>
              </w:rPr>
              <w:t xml:space="preserve">Дата, номер і </w:t>
            </w:r>
            <w:proofErr w:type="spellStart"/>
            <w:r w:rsidRPr="003442F3">
              <w:rPr>
                <w:lang w:val="ru-RU"/>
              </w:rPr>
              <w:t>назва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розпорядчого</w:t>
            </w:r>
            <w:proofErr w:type="spellEnd"/>
            <w:r w:rsidRPr="003442F3">
              <w:rPr>
                <w:lang w:val="ru-RU"/>
              </w:rPr>
              <w:t xml:space="preserve"> документа органу </w:t>
            </w:r>
            <w:proofErr w:type="spellStart"/>
            <w:r w:rsidRPr="003442F3">
              <w:rPr>
                <w:lang w:val="ru-RU"/>
              </w:rPr>
              <w:t>виконавчої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влади</w:t>
            </w:r>
            <w:proofErr w:type="spellEnd"/>
            <w:r w:rsidRPr="003442F3">
              <w:rPr>
                <w:lang w:val="ru-RU"/>
              </w:rPr>
              <w:t xml:space="preserve"> про </w:t>
            </w:r>
            <w:proofErr w:type="spellStart"/>
            <w:r w:rsidRPr="003442F3">
              <w:rPr>
                <w:lang w:val="ru-RU"/>
              </w:rPr>
              <w:t>розроблення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3752" w:type="dxa"/>
            <w:vAlign w:val="bottom"/>
          </w:tcPr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r w:rsidRPr="003442F3">
              <w:rPr>
                <w:lang w:val="ru-RU"/>
              </w:rPr>
              <w:t xml:space="preserve">Закон </w:t>
            </w:r>
            <w:proofErr w:type="spellStart"/>
            <w:r w:rsidRPr="003442F3">
              <w:rPr>
                <w:lang w:val="ru-RU"/>
              </w:rPr>
              <w:t>України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від</w:t>
            </w:r>
            <w:proofErr w:type="spellEnd"/>
            <w:r w:rsidRPr="003442F3">
              <w:rPr>
                <w:lang w:val="ru-RU"/>
              </w:rPr>
              <w:t xml:space="preserve"> 24.02.1994 року № 4004 "Про </w:t>
            </w:r>
            <w:proofErr w:type="spellStart"/>
            <w:r w:rsidRPr="003442F3">
              <w:rPr>
                <w:lang w:val="ru-RU"/>
              </w:rPr>
              <w:t>забезпечення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санітарного</w:t>
            </w:r>
            <w:proofErr w:type="spellEnd"/>
            <w:r w:rsidRPr="003442F3">
              <w:rPr>
                <w:lang w:val="ru-RU"/>
              </w:rPr>
              <w:t xml:space="preserve"> та </w:t>
            </w:r>
            <w:proofErr w:type="spellStart"/>
            <w:r w:rsidRPr="003442F3">
              <w:rPr>
                <w:lang w:val="ru-RU"/>
              </w:rPr>
              <w:t>епідемічного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благополуччя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населення</w:t>
            </w:r>
            <w:proofErr w:type="spellEnd"/>
            <w:r w:rsidRPr="003442F3">
              <w:rPr>
                <w:lang w:val="ru-RU"/>
              </w:rPr>
              <w:t xml:space="preserve">", Закон </w:t>
            </w:r>
            <w:proofErr w:type="spellStart"/>
            <w:r w:rsidRPr="003442F3">
              <w:rPr>
                <w:lang w:val="ru-RU"/>
              </w:rPr>
              <w:t>України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від</w:t>
            </w:r>
            <w:proofErr w:type="spellEnd"/>
            <w:r w:rsidRPr="003442F3">
              <w:rPr>
                <w:lang w:val="ru-RU"/>
              </w:rPr>
              <w:t xml:space="preserve"> 05.06.2003 року № 913-ІУ «Про </w:t>
            </w:r>
            <w:proofErr w:type="spellStart"/>
            <w:r w:rsidRPr="003442F3">
              <w:rPr>
                <w:lang w:val="ru-RU"/>
              </w:rPr>
              <w:t>внесення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зміни</w:t>
            </w:r>
            <w:proofErr w:type="spellEnd"/>
            <w:r w:rsidRPr="003442F3">
              <w:rPr>
                <w:lang w:val="ru-RU"/>
              </w:rPr>
              <w:t xml:space="preserve"> до Закону </w:t>
            </w:r>
            <w:proofErr w:type="spellStart"/>
            <w:r w:rsidRPr="003442F3">
              <w:rPr>
                <w:lang w:val="ru-RU"/>
              </w:rPr>
              <w:t>України</w:t>
            </w:r>
            <w:proofErr w:type="spellEnd"/>
            <w:r w:rsidRPr="003442F3">
              <w:rPr>
                <w:lang w:val="ru-RU"/>
              </w:rPr>
              <w:t xml:space="preserve"> "Про </w:t>
            </w:r>
            <w:proofErr w:type="spellStart"/>
            <w:r w:rsidRPr="003442F3">
              <w:rPr>
                <w:lang w:val="ru-RU"/>
              </w:rPr>
              <w:t>захист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населення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від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інфекційних</w:t>
            </w:r>
            <w:proofErr w:type="spellEnd"/>
            <w:r w:rsidRPr="003442F3">
              <w:rPr>
                <w:lang w:val="ru-RU"/>
              </w:rPr>
              <w:t xml:space="preserve"> хвороб", Закон </w:t>
            </w:r>
            <w:proofErr w:type="spellStart"/>
            <w:r w:rsidRPr="003442F3">
              <w:rPr>
                <w:lang w:val="ru-RU"/>
              </w:rPr>
              <w:t>України</w:t>
            </w:r>
            <w:proofErr w:type="spellEnd"/>
            <w:r w:rsidRPr="003442F3">
              <w:rPr>
                <w:lang w:val="ru-RU"/>
              </w:rPr>
              <w:t xml:space="preserve"> «Про </w:t>
            </w:r>
            <w:proofErr w:type="spellStart"/>
            <w:r w:rsidRPr="003442F3">
              <w:rPr>
                <w:lang w:val="ru-RU"/>
              </w:rPr>
              <w:t>боротьбу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із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захворюванням</w:t>
            </w:r>
            <w:proofErr w:type="spellEnd"/>
            <w:r w:rsidRPr="003442F3">
              <w:rPr>
                <w:lang w:val="ru-RU"/>
              </w:rPr>
              <w:t xml:space="preserve"> на </w:t>
            </w:r>
            <w:proofErr w:type="spellStart"/>
            <w:r w:rsidRPr="003442F3">
              <w:rPr>
                <w:lang w:val="ru-RU"/>
              </w:rPr>
              <w:t>туберкульоз</w:t>
            </w:r>
            <w:proofErr w:type="spellEnd"/>
            <w:r w:rsidRPr="003442F3">
              <w:rPr>
                <w:lang w:val="ru-RU"/>
              </w:rPr>
              <w:t>»,</w:t>
            </w:r>
          </w:p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r w:rsidRPr="003442F3">
              <w:t>Наказ  Міністерства охорони здоров’я України від 03 серпня 2021 року N1614 «Про організацію профілактики інфекцій та інфекційного контролю в закладах охорони здоров’я та установах/закладах надання соціальних послуг /соціального захисту населення»</w:t>
            </w:r>
          </w:p>
        </w:tc>
      </w:tr>
      <w:tr w:rsidR="0045483F" w:rsidRPr="003442F3" w:rsidTr="00464E3D">
        <w:trPr>
          <w:trHeight w:val="272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3</w:t>
            </w:r>
          </w:p>
        </w:tc>
        <w:tc>
          <w:tcPr>
            <w:tcW w:w="5106" w:type="dxa"/>
            <w:vAlign w:val="bottom"/>
          </w:tcPr>
          <w:p w:rsidR="0045483F" w:rsidRPr="003442F3" w:rsidRDefault="0045483F" w:rsidP="003442F3">
            <w:pPr>
              <w:spacing w:line="280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Розробник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3752" w:type="dxa"/>
            <w:vAlign w:val="bottom"/>
          </w:tcPr>
          <w:p w:rsidR="0045483F" w:rsidRPr="003442F3" w:rsidRDefault="0045483F" w:rsidP="003442F3">
            <w:pPr>
              <w:spacing w:line="280" w:lineRule="exact"/>
              <w:jc w:val="both"/>
            </w:pPr>
            <w:r w:rsidRPr="003442F3">
              <w:rPr>
                <w:lang w:val="ru-RU"/>
              </w:rPr>
              <w:t>КНП  «</w:t>
            </w:r>
            <w:proofErr w:type="spellStart"/>
            <w:r w:rsidRPr="003442F3">
              <w:rPr>
                <w:lang w:val="ru-RU"/>
              </w:rPr>
              <w:t>Овруцький</w:t>
            </w:r>
            <w:proofErr w:type="spellEnd"/>
            <w:r w:rsidRPr="003442F3">
              <w:rPr>
                <w:lang w:val="ru-RU"/>
              </w:rPr>
              <w:t xml:space="preserve"> ЦПМСД»  </w:t>
            </w:r>
          </w:p>
        </w:tc>
      </w:tr>
      <w:tr w:rsidR="0045483F" w:rsidRPr="003442F3" w:rsidTr="00464E3D">
        <w:trPr>
          <w:trHeight w:val="914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4</w:t>
            </w:r>
          </w:p>
        </w:tc>
        <w:tc>
          <w:tcPr>
            <w:tcW w:w="5106" w:type="dxa"/>
            <w:vAlign w:val="bottom"/>
          </w:tcPr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Відповідальний</w:t>
            </w:r>
            <w:proofErr w:type="spellEnd"/>
          </w:p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виконавець</w:t>
            </w:r>
            <w:proofErr w:type="spellEnd"/>
          </w:p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3752" w:type="dxa"/>
          </w:tcPr>
          <w:p w:rsidR="00826652" w:rsidRPr="003442F3" w:rsidRDefault="00826652" w:rsidP="003442F3">
            <w:pPr>
              <w:spacing w:line="280" w:lineRule="exact"/>
              <w:jc w:val="both"/>
              <w:rPr>
                <w:lang w:val="ru-RU"/>
              </w:rPr>
            </w:pPr>
          </w:p>
          <w:p w:rsidR="0045483F" w:rsidRPr="003442F3" w:rsidRDefault="0045483F" w:rsidP="003442F3">
            <w:pPr>
              <w:spacing w:line="280" w:lineRule="exact"/>
              <w:jc w:val="both"/>
              <w:rPr>
                <w:lang w:val="ru-RU"/>
              </w:rPr>
            </w:pPr>
            <w:r w:rsidRPr="003442F3">
              <w:rPr>
                <w:lang w:val="ru-RU"/>
              </w:rPr>
              <w:t>КНП  «</w:t>
            </w:r>
            <w:proofErr w:type="spellStart"/>
            <w:r w:rsidRPr="003442F3">
              <w:rPr>
                <w:lang w:val="ru-RU"/>
              </w:rPr>
              <w:t>Овруцький</w:t>
            </w:r>
            <w:proofErr w:type="spellEnd"/>
            <w:r w:rsidRPr="003442F3">
              <w:rPr>
                <w:lang w:val="ru-RU"/>
              </w:rPr>
              <w:t xml:space="preserve"> ЦПМСД» </w:t>
            </w:r>
          </w:p>
        </w:tc>
      </w:tr>
      <w:tr w:rsidR="0045483F" w:rsidRPr="003442F3" w:rsidTr="00464E3D">
        <w:trPr>
          <w:trHeight w:val="292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5</w:t>
            </w:r>
          </w:p>
        </w:tc>
        <w:tc>
          <w:tcPr>
            <w:tcW w:w="5106" w:type="dxa"/>
          </w:tcPr>
          <w:p w:rsidR="0045483F" w:rsidRPr="003442F3" w:rsidRDefault="0045483F" w:rsidP="003442F3">
            <w:pPr>
              <w:spacing w:line="280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Учасники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3752" w:type="dxa"/>
            <w:vAlign w:val="bottom"/>
          </w:tcPr>
          <w:p w:rsidR="00826652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r w:rsidRPr="003442F3">
              <w:t xml:space="preserve">Овруцька міська </w:t>
            </w:r>
            <w:r w:rsidRPr="003442F3">
              <w:rPr>
                <w:lang w:val="ru-RU"/>
              </w:rPr>
              <w:t xml:space="preserve">рада, </w:t>
            </w:r>
          </w:p>
          <w:p w:rsidR="0045483F" w:rsidRPr="003442F3" w:rsidRDefault="0045483F" w:rsidP="003442F3">
            <w:pPr>
              <w:spacing w:line="322" w:lineRule="exact"/>
              <w:jc w:val="both"/>
            </w:pPr>
            <w:r w:rsidRPr="003442F3">
              <w:rPr>
                <w:lang w:val="ru-RU"/>
              </w:rPr>
              <w:t>КНП  «</w:t>
            </w:r>
            <w:proofErr w:type="spellStart"/>
            <w:r w:rsidRPr="003442F3">
              <w:rPr>
                <w:lang w:val="ru-RU"/>
              </w:rPr>
              <w:t>Овруцький</w:t>
            </w:r>
            <w:proofErr w:type="spellEnd"/>
            <w:r w:rsidRPr="003442F3">
              <w:rPr>
                <w:lang w:val="ru-RU"/>
              </w:rPr>
              <w:t xml:space="preserve"> ЦПМСД»  </w:t>
            </w:r>
          </w:p>
        </w:tc>
      </w:tr>
      <w:tr w:rsidR="0045483F" w:rsidRPr="003442F3" w:rsidTr="00464E3D">
        <w:trPr>
          <w:trHeight w:val="292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6</w:t>
            </w:r>
          </w:p>
        </w:tc>
        <w:tc>
          <w:tcPr>
            <w:tcW w:w="5106" w:type="dxa"/>
            <w:vAlign w:val="bottom"/>
          </w:tcPr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Термін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реалізації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3752" w:type="dxa"/>
          </w:tcPr>
          <w:p w:rsidR="0045483F" w:rsidRPr="003442F3" w:rsidRDefault="0045483F" w:rsidP="003442F3">
            <w:pPr>
              <w:spacing w:line="280" w:lineRule="exact"/>
              <w:jc w:val="both"/>
              <w:rPr>
                <w:lang w:val="ru-RU"/>
              </w:rPr>
            </w:pPr>
            <w:r w:rsidRPr="003442F3">
              <w:rPr>
                <w:lang w:val="ru-RU"/>
              </w:rPr>
              <w:t>2022-2024 роки</w:t>
            </w:r>
          </w:p>
        </w:tc>
      </w:tr>
      <w:tr w:rsidR="0045483F" w:rsidRPr="003442F3" w:rsidTr="00464E3D">
        <w:trPr>
          <w:trHeight w:val="1599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7</w:t>
            </w:r>
          </w:p>
        </w:tc>
        <w:tc>
          <w:tcPr>
            <w:tcW w:w="5106" w:type="dxa"/>
          </w:tcPr>
          <w:p w:rsidR="0045483F" w:rsidRPr="003442F3" w:rsidRDefault="0045483F" w:rsidP="003442F3">
            <w:pPr>
              <w:spacing w:line="317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Основні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джерела</w:t>
            </w:r>
            <w:proofErr w:type="spellEnd"/>
          </w:p>
          <w:p w:rsidR="0045483F" w:rsidRPr="003442F3" w:rsidRDefault="0045483F" w:rsidP="003442F3">
            <w:pPr>
              <w:spacing w:line="317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фінансування</w:t>
            </w:r>
            <w:proofErr w:type="spellEnd"/>
          </w:p>
          <w:p w:rsidR="0045483F" w:rsidRPr="003442F3" w:rsidRDefault="0045483F" w:rsidP="003442F3">
            <w:pPr>
              <w:spacing w:line="317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3752" w:type="dxa"/>
          </w:tcPr>
          <w:p w:rsidR="0045483F" w:rsidRPr="003442F3" w:rsidRDefault="0045483F" w:rsidP="003442F3">
            <w:pPr>
              <w:spacing w:line="322" w:lineRule="exact"/>
              <w:jc w:val="both"/>
              <w:rPr>
                <w:lang w:val="ru-RU"/>
              </w:rPr>
            </w:pPr>
            <w:r w:rsidRPr="003442F3">
              <w:t>Бюджет Овруцької міської територіальної громади, НСЗУ</w:t>
            </w:r>
            <w:r w:rsidRPr="003442F3">
              <w:rPr>
                <w:lang w:val="ru-RU"/>
              </w:rPr>
              <w:t xml:space="preserve">, </w:t>
            </w:r>
            <w:proofErr w:type="spellStart"/>
            <w:r w:rsidRPr="003442F3">
              <w:rPr>
                <w:lang w:val="ru-RU"/>
              </w:rPr>
              <w:t>інші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джерела</w:t>
            </w:r>
            <w:proofErr w:type="spellEnd"/>
            <w:r w:rsidRPr="003442F3">
              <w:rPr>
                <w:lang w:val="ru-RU"/>
              </w:rPr>
              <w:t xml:space="preserve">, не </w:t>
            </w:r>
            <w:proofErr w:type="spellStart"/>
            <w:r w:rsidRPr="003442F3">
              <w:rPr>
                <w:lang w:val="ru-RU"/>
              </w:rPr>
              <w:t>заборонені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чинним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законодавством</w:t>
            </w:r>
            <w:proofErr w:type="spellEnd"/>
            <w:r w:rsidRPr="003442F3">
              <w:rPr>
                <w:lang w:val="ru-RU"/>
              </w:rPr>
              <w:t>.</w:t>
            </w:r>
          </w:p>
        </w:tc>
      </w:tr>
      <w:tr w:rsidR="0045483F" w:rsidRPr="003442F3" w:rsidTr="00464E3D">
        <w:trPr>
          <w:trHeight w:val="777"/>
        </w:trPr>
        <w:tc>
          <w:tcPr>
            <w:tcW w:w="669" w:type="dxa"/>
          </w:tcPr>
          <w:p w:rsidR="0045483F" w:rsidRPr="003442F3" w:rsidRDefault="0045483F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lastRenderedPageBreak/>
              <w:t>8</w:t>
            </w:r>
          </w:p>
        </w:tc>
        <w:tc>
          <w:tcPr>
            <w:tcW w:w="5106" w:type="dxa"/>
            <w:vAlign w:val="bottom"/>
          </w:tcPr>
          <w:p w:rsidR="0045483F" w:rsidRPr="003442F3" w:rsidRDefault="0045483F" w:rsidP="003442F3">
            <w:pPr>
              <w:spacing w:line="322" w:lineRule="exact"/>
              <w:jc w:val="both"/>
            </w:pPr>
            <w:proofErr w:type="spellStart"/>
            <w:r w:rsidRPr="003442F3">
              <w:rPr>
                <w:lang w:val="ru-RU"/>
              </w:rPr>
              <w:t>Загальний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обсяг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фінансових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ресурсів</w:t>
            </w:r>
            <w:proofErr w:type="spellEnd"/>
            <w:r w:rsidRPr="003442F3">
              <w:rPr>
                <w:lang w:val="ru-RU"/>
              </w:rPr>
              <w:t xml:space="preserve">, </w:t>
            </w:r>
            <w:proofErr w:type="spellStart"/>
            <w:r w:rsidRPr="003442F3">
              <w:rPr>
                <w:lang w:val="ru-RU"/>
              </w:rPr>
              <w:t>необхідних</w:t>
            </w:r>
            <w:proofErr w:type="spellEnd"/>
            <w:r w:rsidRPr="003442F3">
              <w:rPr>
                <w:lang w:val="ru-RU"/>
              </w:rPr>
              <w:t xml:space="preserve"> для </w:t>
            </w:r>
            <w:proofErr w:type="spellStart"/>
            <w:r w:rsidRPr="003442F3">
              <w:rPr>
                <w:lang w:val="ru-RU"/>
              </w:rPr>
              <w:t>реалізації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Програми</w:t>
            </w:r>
            <w:proofErr w:type="spellEnd"/>
          </w:p>
          <w:p w:rsidR="00464E3D" w:rsidRPr="003442F3" w:rsidRDefault="00464E3D" w:rsidP="003442F3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3752" w:type="dxa"/>
          </w:tcPr>
          <w:p w:rsidR="0045483F" w:rsidRPr="003442F3" w:rsidRDefault="0045483F" w:rsidP="003442F3">
            <w:pPr>
              <w:spacing w:line="280" w:lineRule="exact"/>
              <w:jc w:val="both"/>
              <w:rPr>
                <w:lang w:val="ru-RU"/>
              </w:rPr>
            </w:pPr>
            <w:r w:rsidRPr="003442F3">
              <w:t>В межах фінансових можливостей (бюджетних призначень)</w:t>
            </w:r>
          </w:p>
        </w:tc>
      </w:tr>
      <w:tr w:rsidR="00464E3D" w:rsidRPr="003442F3" w:rsidTr="00464E3D">
        <w:trPr>
          <w:trHeight w:val="777"/>
        </w:trPr>
        <w:tc>
          <w:tcPr>
            <w:tcW w:w="669" w:type="dxa"/>
          </w:tcPr>
          <w:p w:rsidR="00464E3D" w:rsidRPr="003442F3" w:rsidRDefault="00464E3D" w:rsidP="003442F3">
            <w:pPr>
              <w:jc w:val="both"/>
              <w:rPr>
                <w:rFonts w:ascii="Calibri" w:eastAsia="Calibri" w:hAnsi="Calibri"/>
              </w:rPr>
            </w:pPr>
            <w:r w:rsidRPr="003442F3">
              <w:rPr>
                <w:rFonts w:ascii="Calibri" w:eastAsia="Calibri" w:hAnsi="Calibri"/>
              </w:rPr>
              <w:t>9</w:t>
            </w:r>
          </w:p>
        </w:tc>
        <w:tc>
          <w:tcPr>
            <w:tcW w:w="5106" w:type="dxa"/>
            <w:vAlign w:val="bottom"/>
          </w:tcPr>
          <w:p w:rsidR="00464E3D" w:rsidRPr="003442F3" w:rsidRDefault="00464E3D" w:rsidP="003442F3">
            <w:pPr>
              <w:spacing w:line="322" w:lineRule="exact"/>
              <w:jc w:val="both"/>
              <w:rPr>
                <w:lang w:val="ru-RU"/>
              </w:rPr>
            </w:pPr>
            <w:proofErr w:type="spellStart"/>
            <w:r w:rsidRPr="003442F3">
              <w:rPr>
                <w:lang w:val="ru-RU"/>
              </w:rPr>
              <w:t>Загальний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обсяг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фінансових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ресурсів</w:t>
            </w:r>
            <w:proofErr w:type="spellEnd"/>
            <w:r w:rsidRPr="003442F3">
              <w:rPr>
                <w:lang w:val="ru-RU"/>
              </w:rPr>
              <w:t xml:space="preserve"> за </w:t>
            </w:r>
            <w:proofErr w:type="spellStart"/>
            <w:r w:rsidRPr="003442F3">
              <w:rPr>
                <w:lang w:val="ru-RU"/>
              </w:rPr>
              <w:t>рахунок</w:t>
            </w:r>
            <w:proofErr w:type="spellEnd"/>
            <w:r w:rsidRPr="003442F3">
              <w:rPr>
                <w:lang w:val="ru-RU"/>
              </w:rPr>
              <w:t xml:space="preserve"> бюджету </w:t>
            </w:r>
            <w:proofErr w:type="spellStart"/>
            <w:r w:rsidRPr="003442F3">
              <w:rPr>
                <w:lang w:val="ru-RU"/>
              </w:rPr>
              <w:t>Овруцької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міської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територіальної</w:t>
            </w:r>
            <w:proofErr w:type="spellEnd"/>
            <w:r w:rsidRPr="003442F3">
              <w:rPr>
                <w:lang w:val="ru-RU"/>
              </w:rPr>
              <w:t xml:space="preserve"> </w:t>
            </w:r>
            <w:proofErr w:type="spellStart"/>
            <w:r w:rsidRPr="003442F3">
              <w:rPr>
                <w:lang w:val="ru-RU"/>
              </w:rPr>
              <w:t>громади</w:t>
            </w:r>
            <w:proofErr w:type="spellEnd"/>
          </w:p>
        </w:tc>
        <w:tc>
          <w:tcPr>
            <w:tcW w:w="3752" w:type="dxa"/>
          </w:tcPr>
          <w:p w:rsidR="00464E3D" w:rsidRPr="003442F3" w:rsidRDefault="00464E3D" w:rsidP="003442F3">
            <w:pPr>
              <w:spacing w:line="280" w:lineRule="exact"/>
              <w:jc w:val="both"/>
            </w:pPr>
            <w:r w:rsidRPr="003442F3">
              <w:t>В межах фінансових можливостей (бюджетних призначень)</w:t>
            </w:r>
          </w:p>
        </w:tc>
      </w:tr>
    </w:tbl>
    <w:p w:rsidR="0045483F" w:rsidRPr="003442F3" w:rsidRDefault="0045483F" w:rsidP="003442F3">
      <w:pPr>
        <w:spacing w:after="200" w:line="276" w:lineRule="auto"/>
        <w:jc w:val="both"/>
        <w:rPr>
          <w:rFonts w:ascii="Calibri" w:eastAsia="Calibri" w:hAnsi="Calibri"/>
        </w:rPr>
      </w:pPr>
    </w:p>
    <w:p w:rsidR="0045483F" w:rsidRPr="003442F3" w:rsidRDefault="0045483F" w:rsidP="003442F3">
      <w:pPr>
        <w:spacing w:line="280" w:lineRule="exact"/>
        <w:jc w:val="both"/>
        <w:rPr>
          <w:b/>
          <w:bCs/>
        </w:rPr>
      </w:pPr>
    </w:p>
    <w:p w:rsidR="0045483F" w:rsidRPr="003442F3" w:rsidRDefault="0045483F" w:rsidP="009B4F57">
      <w:pPr>
        <w:spacing w:line="280" w:lineRule="exact"/>
        <w:jc w:val="center"/>
        <w:rPr>
          <w:b/>
          <w:bCs/>
        </w:rPr>
      </w:pPr>
      <w:r w:rsidRPr="003442F3">
        <w:rPr>
          <w:b/>
          <w:bCs/>
        </w:rPr>
        <w:t>1. Загальна частина</w:t>
      </w:r>
    </w:p>
    <w:p w:rsidR="0045483F" w:rsidRPr="003442F3" w:rsidRDefault="0045483F" w:rsidP="009B4F57">
      <w:pPr>
        <w:spacing w:line="322" w:lineRule="exact"/>
        <w:ind w:firstLine="740"/>
        <w:jc w:val="center"/>
      </w:pPr>
    </w:p>
    <w:p w:rsidR="0045483F" w:rsidRPr="003442F3" w:rsidRDefault="0045483F" w:rsidP="003442F3">
      <w:pPr>
        <w:spacing w:line="322" w:lineRule="exact"/>
        <w:ind w:firstLine="740"/>
        <w:jc w:val="both"/>
      </w:pPr>
    </w:p>
    <w:p w:rsidR="0045483F" w:rsidRPr="003442F3" w:rsidRDefault="0045483F" w:rsidP="003442F3">
      <w:pPr>
        <w:spacing w:line="322" w:lineRule="exact"/>
        <w:ind w:firstLine="740"/>
        <w:jc w:val="both"/>
        <w:rPr>
          <w:lang w:val="ru-RU"/>
        </w:rPr>
      </w:pPr>
      <w:r w:rsidRPr="003442F3">
        <w:t xml:space="preserve">Внутрішньо - лікарняні інфекційні хвороби, пов'язані з наданням медичної допомоги, які поступаються лише серцево-судинним та онкологічним захворюванням, до цього часу залишаються однією з основних причин інвалідності та смертності населення в усьому світі. Високий рівень цієї захворюваності, на думку експертів Всесвітньої організації охорони здоров'я (ВООЗ), пов'язаний з ростом стійкості збудників внутрішньо - лікарняних інфекцій до дії протимікробних препаратів (антибіотиків, антисептиків та дезінфектантів), відсутністю ефективної системи контролю за інфекціями. Ризик захворювання на внутрішньо - лікарняні інфекції поширюються як на пацієнтів так і працівників закладів охорони здоров'я, а також відвідувачів. За даними ВООЗ 1 з 10 пацієнтів інфікується під час надання медичної допомоги; на 30% зменшується кількість інфекцій, що передаються під час надання медичної допомоги за ефективної профілактики. </w:t>
      </w:r>
      <w:proofErr w:type="spellStart"/>
      <w:r w:rsidRPr="003442F3">
        <w:rPr>
          <w:lang w:val="ru-RU"/>
        </w:rPr>
        <w:t>Рівень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захворюваності</w:t>
      </w:r>
      <w:proofErr w:type="spellEnd"/>
      <w:r w:rsidRPr="003442F3">
        <w:rPr>
          <w:lang w:val="ru-RU"/>
        </w:rPr>
        <w:t xml:space="preserve"> на </w:t>
      </w:r>
      <w:proofErr w:type="spellStart"/>
      <w:r w:rsidRPr="003442F3">
        <w:rPr>
          <w:lang w:val="ru-RU"/>
        </w:rPr>
        <w:t>ці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інфекції</w:t>
      </w:r>
      <w:proofErr w:type="spellEnd"/>
      <w:r w:rsidRPr="003442F3">
        <w:rPr>
          <w:lang w:val="ru-RU"/>
        </w:rPr>
        <w:t xml:space="preserve"> у </w:t>
      </w:r>
      <w:proofErr w:type="spellStart"/>
      <w:r w:rsidRPr="003442F3">
        <w:rPr>
          <w:lang w:val="ru-RU"/>
        </w:rPr>
        <w:t>розвинених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країнах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світу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досягає</w:t>
      </w:r>
      <w:proofErr w:type="spellEnd"/>
      <w:r w:rsidRPr="003442F3">
        <w:rPr>
          <w:lang w:val="ru-RU"/>
        </w:rPr>
        <w:t xml:space="preserve"> до 44%. За </w:t>
      </w:r>
      <w:proofErr w:type="spellStart"/>
      <w:r w:rsidRPr="003442F3">
        <w:rPr>
          <w:lang w:val="ru-RU"/>
        </w:rPr>
        <w:t>визначенням</w:t>
      </w:r>
      <w:proofErr w:type="spellEnd"/>
      <w:r w:rsidRPr="003442F3">
        <w:rPr>
          <w:lang w:val="ru-RU"/>
        </w:rPr>
        <w:t xml:space="preserve"> ВООЗ </w:t>
      </w:r>
      <w:proofErr w:type="spellStart"/>
      <w:r w:rsidRPr="003442F3">
        <w:rPr>
          <w:lang w:val="ru-RU"/>
        </w:rPr>
        <w:t>кожний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десятий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пацієнт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інфікується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збудниками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внутрішньо</w:t>
      </w:r>
      <w:proofErr w:type="spellEnd"/>
      <w:r w:rsidRPr="003442F3">
        <w:rPr>
          <w:lang w:val="ru-RU"/>
        </w:rPr>
        <w:t xml:space="preserve"> - </w:t>
      </w:r>
      <w:proofErr w:type="spellStart"/>
      <w:r w:rsidRPr="003442F3">
        <w:rPr>
          <w:lang w:val="ru-RU"/>
        </w:rPr>
        <w:t>лікарняних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</w:t>
      </w:r>
      <w:proofErr w:type="spellEnd"/>
      <w:r w:rsidRPr="003442F3">
        <w:rPr>
          <w:lang w:val="ru-RU"/>
        </w:rPr>
        <w:t>.</w:t>
      </w:r>
    </w:p>
    <w:p w:rsidR="0045483F" w:rsidRPr="003442F3" w:rsidRDefault="0045483F" w:rsidP="003442F3">
      <w:pPr>
        <w:spacing w:after="300" w:line="322" w:lineRule="exact"/>
        <w:ind w:firstLine="740"/>
        <w:jc w:val="both"/>
        <w:rPr>
          <w:lang w:val="ru-RU"/>
        </w:rPr>
      </w:pPr>
      <w:proofErr w:type="spellStart"/>
      <w:r w:rsidRPr="003442F3">
        <w:rPr>
          <w:lang w:val="ru-RU"/>
        </w:rPr>
        <w:t>Інфекційний</w:t>
      </w:r>
      <w:proofErr w:type="spellEnd"/>
      <w:r w:rsidRPr="003442F3">
        <w:rPr>
          <w:lang w:val="ru-RU"/>
        </w:rPr>
        <w:t xml:space="preserve"> контроль </w:t>
      </w:r>
      <w:proofErr w:type="spellStart"/>
      <w:r w:rsidRPr="003442F3">
        <w:rPr>
          <w:lang w:val="ru-RU"/>
        </w:rPr>
        <w:t>відіграє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вирішальну</w:t>
      </w:r>
      <w:proofErr w:type="spellEnd"/>
      <w:r w:rsidRPr="003442F3">
        <w:rPr>
          <w:lang w:val="ru-RU"/>
        </w:rPr>
        <w:t xml:space="preserve"> роль для </w:t>
      </w:r>
      <w:proofErr w:type="spellStart"/>
      <w:r w:rsidRPr="003442F3">
        <w:rPr>
          <w:lang w:val="ru-RU"/>
        </w:rPr>
        <w:t>підвищення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безпеки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пацієнтів</w:t>
      </w:r>
      <w:proofErr w:type="spellEnd"/>
      <w:r w:rsidRPr="003442F3">
        <w:rPr>
          <w:lang w:val="ru-RU"/>
        </w:rPr>
        <w:t xml:space="preserve"> та </w:t>
      </w:r>
      <w:proofErr w:type="spellStart"/>
      <w:r w:rsidRPr="003442F3">
        <w:rPr>
          <w:lang w:val="ru-RU"/>
        </w:rPr>
        <w:t>профілактики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</w:t>
      </w:r>
      <w:proofErr w:type="spellEnd"/>
      <w:r w:rsidRPr="003442F3">
        <w:rPr>
          <w:lang w:val="ru-RU"/>
        </w:rPr>
        <w:t xml:space="preserve">, </w:t>
      </w:r>
      <w:proofErr w:type="spellStart"/>
      <w:r w:rsidRPr="003442F3">
        <w:rPr>
          <w:lang w:val="ru-RU"/>
        </w:rPr>
        <w:t>пов’язаних</w:t>
      </w:r>
      <w:proofErr w:type="spellEnd"/>
      <w:r w:rsidRPr="003442F3">
        <w:rPr>
          <w:lang w:val="ru-RU"/>
        </w:rPr>
        <w:t xml:space="preserve"> з </w:t>
      </w:r>
      <w:proofErr w:type="spellStart"/>
      <w:r w:rsidRPr="003442F3">
        <w:rPr>
          <w:lang w:val="ru-RU"/>
        </w:rPr>
        <w:t>наданням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медичної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допомоги</w:t>
      </w:r>
      <w:proofErr w:type="spellEnd"/>
      <w:r w:rsidRPr="003442F3">
        <w:rPr>
          <w:lang w:val="ru-RU"/>
        </w:rPr>
        <w:t xml:space="preserve"> (</w:t>
      </w:r>
      <w:proofErr w:type="spellStart"/>
      <w:r w:rsidRPr="003442F3">
        <w:rPr>
          <w:lang w:val="ru-RU"/>
        </w:rPr>
        <w:t>далі</w:t>
      </w:r>
      <w:proofErr w:type="spellEnd"/>
      <w:r w:rsidRPr="003442F3">
        <w:rPr>
          <w:lang w:val="ru-RU"/>
        </w:rPr>
        <w:t xml:space="preserve"> ІПНМД). </w:t>
      </w:r>
      <w:proofErr w:type="spellStart"/>
      <w:r w:rsidRPr="003442F3">
        <w:rPr>
          <w:lang w:val="ru-RU"/>
        </w:rPr>
        <w:t>Медичний</w:t>
      </w:r>
      <w:proofErr w:type="spellEnd"/>
      <w:r w:rsidRPr="003442F3">
        <w:rPr>
          <w:lang w:val="ru-RU"/>
        </w:rPr>
        <w:t xml:space="preserve"> заклад </w:t>
      </w:r>
      <w:proofErr w:type="spellStart"/>
      <w:r w:rsidRPr="003442F3">
        <w:rPr>
          <w:lang w:val="ru-RU"/>
        </w:rPr>
        <w:t>має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високий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ризик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поширення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мікроорганізмів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між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відвідувачами</w:t>
      </w:r>
      <w:proofErr w:type="spellEnd"/>
      <w:r w:rsidRPr="003442F3">
        <w:rPr>
          <w:lang w:val="ru-RU"/>
        </w:rPr>
        <w:t xml:space="preserve"> та </w:t>
      </w:r>
      <w:proofErr w:type="spellStart"/>
      <w:r w:rsidRPr="003442F3">
        <w:rPr>
          <w:lang w:val="ru-RU"/>
        </w:rPr>
        <w:t>медичними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працівниками</w:t>
      </w:r>
      <w:proofErr w:type="spellEnd"/>
      <w:r w:rsidRPr="003442F3">
        <w:rPr>
          <w:lang w:val="ru-RU"/>
        </w:rPr>
        <w:t xml:space="preserve">. </w:t>
      </w:r>
      <w:proofErr w:type="spellStart"/>
      <w:r w:rsidRPr="003442F3">
        <w:rPr>
          <w:lang w:val="ru-RU"/>
        </w:rPr>
        <w:t>Ризик</w:t>
      </w:r>
      <w:proofErr w:type="spellEnd"/>
      <w:r w:rsidRPr="003442F3">
        <w:rPr>
          <w:lang w:val="ru-RU"/>
        </w:rPr>
        <w:t xml:space="preserve"> ІПНМД </w:t>
      </w:r>
      <w:proofErr w:type="spellStart"/>
      <w:r w:rsidRPr="003442F3">
        <w:rPr>
          <w:lang w:val="ru-RU"/>
        </w:rPr>
        <w:t>підвищують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інвазійні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процедури</w:t>
      </w:r>
      <w:proofErr w:type="spellEnd"/>
      <w:r w:rsidRPr="003442F3">
        <w:rPr>
          <w:lang w:val="ru-RU"/>
        </w:rPr>
        <w:t xml:space="preserve">. </w:t>
      </w:r>
      <w:proofErr w:type="spellStart"/>
      <w:r w:rsidRPr="003442F3">
        <w:rPr>
          <w:lang w:val="ru-RU"/>
        </w:rPr>
        <w:t>Програма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інфекційного</w:t>
      </w:r>
      <w:proofErr w:type="spellEnd"/>
      <w:r w:rsidRPr="003442F3">
        <w:rPr>
          <w:lang w:val="ru-RU"/>
        </w:rPr>
        <w:t xml:space="preserve"> контролю </w:t>
      </w:r>
      <w:proofErr w:type="spellStart"/>
      <w:r w:rsidRPr="003442F3">
        <w:rPr>
          <w:lang w:val="ru-RU"/>
        </w:rPr>
        <w:t>дасть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змогу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зробити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медичне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обслуговування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безпечним</w:t>
      </w:r>
      <w:proofErr w:type="spellEnd"/>
      <w:r w:rsidRPr="003442F3">
        <w:rPr>
          <w:lang w:val="ru-RU"/>
        </w:rPr>
        <w:t xml:space="preserve"> і </w:t>
      </w:r>
      <w:proofErr w:type="spellStart"/>
      <w:r w:rsidRPr="003442F3">
        <w:rPr>
          <w:lang w:val="ru-RU"/>
        </w:rPr>
        <w:t>доступним</w:t>
      </w:r>
      <w:proofErr w:type="spellEnd"/>
      <w:r w:rsidRPr="003442F3">
        <w:rPr>
          <w:lang w:val="ru-RU"/>
        </w:rPr>
        <w:t xml:space="preserve">, </w:t>
      </w:r>
      <w:proofErr w:type="spellStart"/>
      <w:r w:rsidRPr="003442F3">
        <w:rPr>
          <w:lang w:val="ru-RU"/>
        </w:rPr>
        <w:t>адже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допоможе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запобігти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витратам</w:t>
      </w:r>
      <w:proofErr w:type="spellEnd"/>
      <w:r w:rsidRPr="003442F3">
        <w:rPr>
          <w:lang w:val="ru-RU"/>
        </w:rPr>
        <w:t xml:space="preserve"> на </w:t>
      </w:r>
      <w:proofErr w:type="spellStart"/>
      <w:r w:rsidRPr="003442F3">
        <w:rPr>
          <w:lang w:val="ru-RU"/>
        </w:rPr>
        <w:t>лікування</w:t>
      </w:r>
      <w:proofErr w:type="spellEnd"/>
      <w:r w:rsidRPr="003442F3">
        <w:rPr>
          <w:lang w:val="ru-RU"/>
        </w:rPr>
        <w:t xml:space="preserve"> ІПНМД, а головне — </w:t>
      </w:r>
      <w:proofErr w:type="spellStart"/>
      <w:r w:rsidRPr="003442F3">
        <w:rPr>
          <w:lang w:val="ru-RU"/>
        </w:rPr>
        <w:t>зберегти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життя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відвідувачів</w:t>
      </w:r>
      <w:proofErr w:type="spellEnd"/>
      <w:r w:rsidRPr="003442F3">
        <w:rPr>
          <w:lang w:val="ru-RU"/>
        </w:rPr>
        <w:t>.</w:t>
      </w:r>
    </w:p>
    <w:p w:rsidR="0045483F" w:rsidRPr="003442F3" w:rsidRDefault="0045483F" w:rsidP="003442F3">
      <w:pPr>
        <w:numPr>
          <w:ilvl w:val="0"/>
          <w:numId w:val="1"/>
        </w:numPr>
        <w:tabs>
          <w:tab w:val="left" w:pos="3307"/>
        </w:tabs>
        <w:suppressAutoHyphens w:val="0"/>
        <w:spacing w:line="322" w:lineRule="exact"/>
        <w:ind w:left="2980"/>
        <w:jc w:val="both"/>
        <w:outlineLvl w:val="1"/>
        <w:rPr>
          <w:b/>
          <w:bCs/>
          <w:lang w:val="ru-RU"/>
        </w:rPr>
      </w:pPr>
      <w:bookmarkStart w:id="2" w:name="bookmark1"/>
      <w:r w:rsidRPr="003442F3">
        <w:rPr>
          <w:b/>
          <w:bCs/>
          <w:lang w:val="ru-RU"/>
        </w:rPr>
        <w:t xml:space="preserve">Мета і шляхи </w:t>
      </w:r>
      <w:proofErr w:type="spellStart"/>
      <w:r w:rsidRPr="003442F3">
        <w:rPr>
          <w:b/>
          <w:bCs/>
          <w:lang w:val="ru-RU"/>
        </w:rPr>
        <w:t>її</w:t>
      </w:r>
      <w:proofErr w:type="spellEnd"/>
      <w:r w:rsidRPr="003442F3">
        <w:rPr>
          <w:b/>
          <w:bCs/>
          <w:lang w:val="ru-RU"/>
        </w:rPr>
        <w:t xml:space="preserve"> </w:t>
      </w:r>
      <w:proofErr w:type="spellStart"/>
      <w:r w:rsidRPr="003442F3">
        <w:rPr>
          <w:b/>
          <w:bCs/>
          <w:lang w:val="ru-RU"/>
        </w:rPr>
        <w:t>досягнення</w:t>
      </w:r>
      <w:bookmarkEnd w:id="2"/>
      <w:proofErr w:type="spellEnd"/>
    </w:p>
    <w:p w:rsidR="0045483F" w:rsidRPr="003442F3" w:rsidRDefault="0045483F" w:rsidP="003442F3">
      <w:pPr>
        <w:spacing w:line="322" w:lineRule="exact"/>
        <w:ind w:firstLine="740"/>
        <w:jc w:val="both"/>
        <w:rPr>
          <w:lang w:val="ru-RU"/>
        </w:rPr>
      </w:pPr>
      <w:proofErr w:type="spellStart"/>
      <w:r w:rsidRPr="003442F3">
        <w:rPr>
          <w:lang w:val="ru-RU"/>
        </w:rPr>
        <w:t>Програму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розроблено</w:t>
      </w:r>
      <w:proofErr w:type="spellEnd"/>
      <w:r w:rsidRPr="003442F3">
        <w:rPr>
          <w:lang w:val="ru-RU"/>
        </w:rPr>
        <w:t xml:space="preserve"> з метою </w:t>
      </w:r>
      <w:proofErr w:type="spellStart"/>
      <w:r w:rsidRPr="003442F3">
        <w:rPr>
          <w:lang w:val="ru-RU"/>
        </w:rPr>
        <w:t>зниження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рівня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захворювань</w:t>
      </w:r>
      <w:proofErr w:type="spellEnd"/>
      <w:r w:rsidRPr="003442F3">
        <w:rPr>
          <w:lang w:val="ru-RU"/>
        </w:rPr>
        <w:t xml:space="preserve">, </w:t>
      </w:r>
      <w:proofErr w:type="spellStart"/>
      <w:r w:rsidRPr="003442F3">
        <w:rPr>
          <w:lang w:val="ru-RU"/>
        </w:rPr>
        <w:t>пов'язаних</w:t>
      </w:r>
      <w:proofErr w:type="spellEnd"/>
      <w:r w:rsidRPr="003442F3">
        <w:rPr>
          <w:lang w:val="ru-RU"/>
        </w:rPr>
        <w:t xml:space="preserve"> з </w:t>
      </w:r>
      <w:proofErr w:type="spellStart"/>
      <w:r w:rsidRPr="003442F3">
        <w:rPr>
          <w:lang w:val="ru-RU"/>
        </w:rPr>
        <w:t>наданням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медичної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допомоги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населенню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громади</w:t>
      </w:r>
      <w:proofErr w:type="spellEnd"/>
      <w:r w:rsidRPr="003442F3">
        <w:rPr>
          <w:lang w:val="ru-RU"/>
        </w:rPr>
        <w:t xml:space="preserve"> за </w:t>
      </w:r>
      <w:proofErr w:type="spellStart"/>
      <w:r w:rsidRPr="003442F3">
        <w:rPr>
          <w:lang w:val="ru-RU"/>
        </w:rPr>
        <w:t>рахунок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вдосконалення</w:t>
      </w:r>
      <w:proofErr w:type="spellEnd"/>
      <w:r w:rsidRPr="003442F3">
        <w:rPr>
          <w:lang w:val="ru-RU"/>
        </w:rPr>
        <w:t xml:space="preserve"> комплексу </w:t>
      </w:r>
      <w:proofErr w:type="spellStart"/>
      <w:r w:rsidRPr="003442F3">
        <w:rPr>
          <w:lang w:val="ru-RU"/>
        </w:rPr>
        <w:t>профілактичних</w:t>
      </w:r>
      <w:proofErr w:type="spellEnd"/>
      <w:r w:rsidRPr="003442F3">
        <w:rPr>
          <w:lang w:val="ru-RU"/>
        </w:rPr>
        <w:t xml:space="preserve"> та </w:t>
      </w:r>
      <w:proofErr w:type="spellStart"/>
      <w:r w:rsidRPr="003442F3">
        <w:rPr>
          <w:lang w:val="ru-RU"/>
        </w:rPr>
        <w:t>протиепідемічних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заходів</w:t>
      </w:r>
      <w:proofErr w:type="spellEnd"/>
      <w:r w:rsidRPr="003442F3">
        <w:rPr>
          <w:lang w:val="ru-RU"/>
        </w:rPr>
        <w:t xml:space="preserve">, а </w:t>
      </w:r>
      <w:proofErr w:type="spellStart"/>
      <w:r w:rsidRPr="003442F3">
        <w:rPr>
          <w:lang w:val="ru-RU"/>
        </w:rPr>
        <w:t>також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впровадження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ефективної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системи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епідеміологічного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нагляду</w:t>
      </w:r>
      <w:proofErr w:type="spellEnd"/>
      <w:r w:rsidRPr="003442F3">
        <w:rPr>
          <w:lang w:val="ru-RU"/>
        </w:rPr>
        <w:t xml:space="preserve"> за </w:t>
      </w:r>
      <w:proofErr w:type="spellStart"/>
      <w:r w:rsidRPr="003442F3">
        <w:rPr>
          <w:lang w:val="ru-RU"/>
        </w:rPr>
        <w:t>внутрішньо</w:t>
      </w:r>
      <w:proofErr w:type="spellEnd"/>
      <w:r w:rsidRPr="003442F3">
        <w:rPr>
          <w:lang w:val="ru-RU"/>
        </w:rPr>
        <w:t xml:space="preserve"> - </w:t>
      </w:r>
      <w:proofErr w:type="spellStart"/>
      <w:r w:rsidRPr="003442F3">
        <w:rPr>
          <w:lang w:val="ru-RU"/>
        </w:rPr>
        <w:t>лікарняними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інфекціями</w:t>
      </w:r>
      <w:proofErr w:type="spellEnd"/>
      <w:r w:rsidRPr="003442F3">
        <w:rPr>
          <w:lang w:val="ru-RU"/>
        </w:rPr>
        <w:t xml:space="preserve">, </w:t>
      </w:r>
      <w:proofErr w:type="spellStart"/>
      <w:r w:rsidRPr="003442F3">
        <w:rPr>
          <w:lang w:val="ru-RU"/>
        </w:rPr>
        <w:t>покращення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забезпеченості</w:t>
      </w:r>
      <w:proofErr w:type="spellEnd"/>
      <w:r w:rsidRPr="003442F3">
        <w:rPr>
          <w:lang w:val="ru-RU"/>
        </w:rPr>
        <w:t xml:space="preserve"> ЛПЗ </w:t>
      </w:r>
      <w:proofErr w:type="spellStart"/>
      <w:r w:rsidRPr="003442F3">
        <w:rPr>
          <w:lang w:val="ru-RU"/>
        </w:rPr>
        <w:t>сучасними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засобами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дезінфекції</w:t>
      </w:r>
      <w:proofErr w:type="spellEnd"/>
      <w:r w:rsidRPr="003442F3">
        <w:rPr>
          <w:lang w:val="ru-RU"/>
        </w:rPr>
        <w:t>.</w:t>
      </w:r>
    </w:p>
    <w:p w:rsidR="0045483F" w:rsidRPr="003442F3" w:rsidRDefault="0045483F" w:rsidP="003442F3">
      <w:pPr>
        <w:spacing w:line="322" w:lineRule="exact"/>
        <w:ind w:firstLine="880"/>
        <w:jc w:val="both"/>
        <w:rPr>
          <w:lang w:val="ru-RU"/>
        </w:rPr>
      </w:pPr>
      <w:proofErr w:type="spellStart"/>
      <w:r w:rsidRPr="003442F3">
        <w:rPr>
          <w:lang w:val="ru-RU"/>
        </w:rPr>
        <w:t>Прийняття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запропонованої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Програми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має</w:t>
      </w:r>
      <w:proofErr w:type="spellEnd"/>
      <w:r w:rsidRPr="003442F3">
        <w:rPr>
          <w:lang w:val="ru-RU"/>
        </w:rPr>
        <w:t xml:space="preserve"> на </w:t>
      </w:r>
      <w:proofErr w:type="spellStart"/>
      <w:r w:rsidRPr="003442F3">
        <w:rPr>
          <w:lang w:val="ru-RU"/>
        </w:rPr>
        <w:t>меті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забезпечення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безпечності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медичних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послуг</w:t>
      </w:r>
      <w:proofErr w:type="spellEnd"/>
      <w:r w:rsidRPr="003442F3">
        <w:rPr>
          <w:lang w:val="ru-RU"/>
        </w:rPr>
        <w:t xml:space="preserve">, </w:t>
      </w:r>
      <w:proofErr w:type="spellStart"/>
      <w:r w:rsidRPr="003442F3">
        <w:rPr>
          <w:lang w:val="ru-RU"/>
        </w:rPr>
        <w:t>що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надаються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населенню</w:t>
      </w:r>
      <w:proofErr w:type="spellEnd"/>
      <w:r w:rsidRPr="003442F3">
        <w:rPr>
          <w:lang w:val="ru-RU"/>
        </w:rPr>
        <w:t xml:space="preserve"> шляхом </w:t>
      </w:r>
      <w:proofErr w:type="spellStart"/>
      <w:r w:rsidRPr="003442F3">
        <w:rPr>
          <w:lang w:val="ru-RU"/>
        </w:rPr>
        <w:t>дотримання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санітарно</w:t>
      </w:r>
      <w:proofErr w:type="spellEnd"/>
      <w:r w:rsidRPr="003442F3">
        <w:rPr>
          <w:lang w:val="ru-RU"/>
        </w:rPr>
        <w:t xml:space="preserve"> - </w:t>
      </w:r>
      <w:proofErr w:type="spellStart"/>
      <w:r w:rsidRPr="003442F3">
        <w:rPr>
          <w:lang w:val="ru-RU"/>
        </w:rPr>
        <w:t>епідеміологічних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вимог</w:t>
      </w:r>
      <w:proofErr w:type="spellEnd"/>
      <w:r w:rsidRPr="003442F3">
        <w:rPr>
          <w:lang w:val="ru-RU"/>
        </w:rPr>
        <w:t xml:space="preserve"> у </w:t>
      </w:r>
      <w:proofErr w:type="spellStart"/>
      <w:r w:rsidRPr="003442F3">
        <w:rPr>
          <w:lang w:val="ru-RU"/>
        </w:rPr>
        <w:t>приміщеннях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структурних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підрозділів</w:t>
      </w:r>
      <w:proofErr w:type="spellEnd"/>
      <w:r w:rsidRPr="003442F3">
        <w:rPr>
          <w:lang w:val="ru-RU"/>
        </w:rPr>
        <w:t xml:space="preserve"> закладу: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710"/>
        </w:tabs>
        <w:suppressAutoHyphens w:val="0"/>
        <w:spacing w:line="322" w:lineRule="exact"/>
        <w:jc w:val="both"/>
        <w:rPr>
          <w:lang w:val="ru-RU"/>
        </w:rPr>
      </w:pPr>
      <w:proofErr w:type="spellStart"/>
      <w:r w:rsidRPr="003442F3">
        <w:rPr>
          <w:lang w:val="ru-RU"/>
        </w:rPr>
        <w:t>забезпечення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гарантії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безпеки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інструментарію</w:t>
      </w:r>
      <w:proofErr w:type="spellEnd"/>
      <w:r w:rsidRPr="003442F3">
        <w:rPr>
          <w:lang w:val="ru-RU"/>
        </w:rPr>
        <w:t xml:space="preserve"> при </w:t>
      </w:r>
      <w:proofErr w:type="spellStart"/>
      <w:r w:rsidRPr="003442F3">
        <w:rPr>
          <w:lang w:val="ru-RU"/>
        </w:rPr>
        <w:t>обслуговуванні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пацієнтів</w:t>
      </w:r>
      <w:proofErr w:type="spellEnd"/>
      <w:r w:rsidRPr="003442F3">
        <w:rPr>
          <w:lang w:val="ru-RU"/>
        </w:rPr>
        <w:t>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352"/>
        </w:tabs>
        <w:suppressAutoHyphens w:val="0"/>
        <w:spacing w:line="322" w:lineRule="exact"/>
        <w:jc w:val="both"/>
        <w:rPr>
          <w:lang w:val="ru-RU"/>
        </w:rPr>
      </w:pPr>
      <w:proofErr w:type="spellStart"/>
      <w:r w:rsidRPr="003442F3">
        <w:rPr>
          <w:lang w:val="ru-RU"/>
        </w:rPr>
        <w:t>забезпечення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створення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ефективної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системи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моніторингу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поширення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внутрішньо-</w:t>
      </w:r>
      <w:r w:rsidRPr="003442F3">
        <w:rPr>
          <w:lang w:val="ru-RU"/>
        </w:rPr>
        <w:lastRenderedPageBreak/>
        <w:t>лікарняних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захворювань</w:t>
      </w:r>
      <w:proofErr w:type="spellEnd"/>
      <w:r w:rsidRPr="003442F3">
        <w:rPr>
          <w:lang w:val="ru-RU"/>
        </w:rPr>
        <w:t>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352"/>
        </w:tabs>
        <w:suppressAutoHyphens w:val="0"/>
        <w:spacing w:line="322" w:lineRule="exact"/>
        <w:jc w:val="both"/>
        <w:rPr>
          <w:lang w:val="ru-RU"/>
        </w:rPr>
      </w:pPr>
      <w:proofErr w:type="spellStart"/>
      <w:r w:rsidRPr="003442F3">
        <w:rPr>
          <w:lang w:val="ru-RU"/>
        </w:rPr>
        <w:t>підвищення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рівня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підготовки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фахівців</w:t>
      </w:r>
      <w:proofErr w:type="spellEnd"/>
      <w:r w:rsidRPr="003442F3">
        <w:rPr>
          <w:lang w:val="ru-RU"/>
        </w:rPr>
        <w:t xml:space="preserve"> з </w:t>
      </w:r>
      <w:proofErr w:type="spellStart"/>
      <w:r w:rsidRPr="003442F3">
        <w:rPr>
          <w:lang w:val="ru-RU"/>
        </w:rPr>
        <w:t>питань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здійснення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інфекційного</w:t>
      </w:r>
      <w:proofErr w:type="spellEnd"/>
      <w:r w:rsidRPr="003442F3">
        <w:rPr>
          <w:lang w:val="ru-RU"/>
        </w:rPr>
        <w:t xml:space="preserve"> контролю;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212"/>
        </w:tabs>
        <w:suppressAutoHyphens w:val="0"/>
        <w:spacing w:line="322" w:lineRule="exact"/>
        <w:jc w:val="both"/>
        <w:rPr>
          <w:lang w:val="ru-RU"/>
        </w:rPr>
      </w:pPr>
      <w:proofErr w:type="spellStart"/>
      <w:r w:rsidRPr="003442F3">
        <w:rPr>
          <w:lang w:val="ru-RU"/>
        </w:rPr>
        <w:t>зміцнення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матеріально-технічної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бази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структурних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підрозділів</w:t>
      </w:r>
      <w:proofErr w:type="spellEnd"/>
      <w:r w:rsidRPr="003442F3">
        <w:rPr>
          <w:lang w:val="ru-RU"/>
        </w:rPr>
        <w:t xml:space="preserve"> закладу;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352"/>
        </w:tabs>
        <w:suppressAutoHyphens w:val="0"/>
        <w:spacing w:line="322" w:lineRule="exact"/>
        <w:jc w:val="both"/>
        <w:rPr>
          <w:lang w:val="ru-RU"/>
        </w:rPr>
      </w:pPr>
      <w:proofErr w:type="spellStart"/>
      <w:r w:rsidRPr="003442F3">
        <w:rPr>
          <w:lang w:val="ru-RU"/>
        </w:rPr>
        <w:t>дотримання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протиепідемічного</w:t>
      </w:r>
      <w:proofErr w:type="spellEnd"/>
      <w:r w:rsidRPr="003442F3">
        <w:rPr>
          <w:lang w:val="ru-RU"/>
        </w:rPr>
        <w:t xml:space="preserve"> режиму шляхом </w:t>
      </w:r>
      <w:proofErr w:type="spellStart"/>
      <w:r w:rsidRPr="003442F3">
        <w:rPr>
          <w:lang w:val="ru-RU"/>
        </w:rPr>
        <w:t>забезпечення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сучасним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обла</w:t>
      </w:r>
      <w:r w:rsidR="003442F3">
        <w:rPr>
          <w:lang w:val="ru-RU"/>
        </w:rPr>
        <w:t>днанням</w:t>
      </w:r>
      <w:proofErr w:type="spellEnd"/>
      <w:r w:rsidR="003442F3">
        <w:rPr>
          <w:lang w:val="ru-RU"/>
        </w:rPr>
        <w:t xml:space="preserve"> та </w:t>
      </w:r>
      <w:proofErr w:type="spellStart"/>
      <w:r w:rsidR="003442F3">
        <w:rPr>
          <w:lang w:val="ru-RU"/>
        </w:rPr>
        <w:t>засобами</w:t>
      </w:r>
      <w:proofErr w:type="spellEnd"/>
      <w:r w:rsidR="003442F3">
        <w:rPr>
          <w:lang w:val="ru-RU"/>
        </w:rPr>
        <w:t xml:space="preserve"> </w:t>
      </w:r>
      <w:proofErr w:type="spellStart"/>
      <w:r w:rsidR="003442F3">
        <w:rPr>
          <w:lang w:val="ru-RU"/>
        </w:rPr>
        <w:t>дезінфекції</w:t>
      </w:r>
      <w:proofErr w:type="spellEnd"/>
      <w:r w:rsidR="003442F3">
        <w:rPr>
          <w:lang w:val="ru-RU"/>
        </w:rPr>
        <w:t>.</w:t>
      </w:r>
    </w:p>
    <w:p w:rsidR="0045483F" w:rsidRPr="003442F3" w:rsidRDefault="0045483F" w:rsidP="003442F3">
      <w:pPr>
        <w:tabs>
          <w:tab w:val="left" w:pos="352"/>
        </w:tabs>
        <w:spacing w:line="322" w:lineRule="exact"/>
        <w:jc w:val="both"/>
        <w:rPr>
          <w:lang w:val="ru-RU"/>
        </w:rPr>
      </w:pPr>
    </w:p>
    <w:p w:rsidR="0045483F" w:rsidRPr="003442F3" w:rsidRDefault="0045483F" w:rsidP="003442F3">
      <w:pPr>
        <w:spacing w:after="200" w:line="276" w:lineRule="auto"/>
        <w:jc w:val="both"/>
        <w:rPr>
          <w:rFonts w:ascii="Calibri" w:eastAsia="Calibri" w:hAnsi="Calibri"/>
          <w:lang w:val="ru-RU"/>
        </w:rPr>
      </w:pPr>
    </w:p>
    <w:p w:rsidR="0045483F" w:rsidRPr="000F530B" w:rsidRDefault="0045483F" w:rsidP="0045483F">
      <w:pPr>
        <w:pStyle w:val="a3"/>
        <w:widowControl w:val="0"/>
        <w:numPr>
          <w:ilvl w:val="0"/>
          <w:numId w:val="1"/>
        </w:numPr>
        <w:spacing w:after="0" w:line="317" w:lineRule="exact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Напрями діяльності та заходи </w:t>
      </w:r>
      <w:r w:rsidR="004A6FA7">
        <w:rPr>
          <w:rFonts w:ascii="Times New Roman" w:eastAsia="Times New Roman" w:hAnsi="Times New Roman"/>
          <w:b/>
          <w:sz w:val="28"/>
          <w:szCs w:val="28"/>
          <w:lang w:eastAsia="ru-RU"/>
        </w:rPr>
        <w:t>по П</w:t>
      </w:r>
      <w:r w:rsidRPr="000F530B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</w:t>
      </w:r>
      <w:r w:rsidR="004A6FA7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Pr="000F53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5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інфекційного контролю та дотримання заходів із запобігання інфекціям, пов’язаних з наданням медичної допомоги в КНП «Овруцький ЦПМСД» </w:t>
      </w:r>
      <w:r w:rsidR="00CE67B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F5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2022- 2024роки</w:t>
      </w:r>
    </w:p>
    <w:p w:rsidR="0045483F" w:rsidRPr="000F530B" w:rsidRDefault="0045483F" w:rsidP="0045483F">
      <w:pPr>
        <w:tabs>
          <w:tab w:val="left" w:pos="352"/>
        </w:tabs>
        <w:spacing w:line="322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93" w:tblpY="17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134"/>
        <w:gridCol w:w="1418"/>
        <w:gridCol w:w="1417"/>
        <w:gridCol w:w="1418"/>
        <w:gridCol w:w="709"/>
        <w:gridCol w:w="708"/>
        <w:gridCol w:w="709"/>
      </w:tblGrid>
      <w:tr w:rsidR="0045483F" w:rsidRPr="00721733" w:rsidTr="003442F3">
        <w:tc>
          <w:tcPr>
            <w:tcW w:w="421" w:type="dxa"/>
            <w:vMerge w:val="restart"/>
            <w:vAlign w:val="center"/>
          </w:tcPr>
          <w:p w:rsidR="0045483F" w:rsidRPr="00F731C8" w:rsidRDefault="0045483F" w:rsidP="001413DA">
            <w:pPr>
              <w:jc w:val="center"/>
            </w:pPr>
            <w:r w:rsidRPr="00F731C8"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45483F" w:rsidRPr="00F731C8" w:rsidRDefault="0045483F" w:rsidP="001413DA">
            <w:pPr>
              <w:jc w:val="center"/>
            </w:pPr>
            <w:r w:rsidRPr="00F731C8"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:rsidR="0045483F" w:rsidRPr="00F731C8" w:rsidRDefault="0045483F" w:rsidP="001413DA">
            <w:pPr>
              <w:jc w:val="center"/>
            </w:pPr>
            <w:r w:rsidRPr="00F731C8">
              <w:t>Строк виконання заходу</w:t>
            </w:r>
          </w:p>
        </w:tc>
        <w:tc>
          <w:tcPr>
            <w:tcW w:w="1418" w:type="dxa"/>
            <w:vMerge w:val="restart"/>
            <w:vAlign w:val="center"/>
          </w:tcPr>
          <w:p w:rsidR="0045483F" w:rsidRPr="00F731C8" w:rsidRDefault="0045483F" w:rsidP="001413DA">
            <w:pPr>
              <w:jc w:val="center"/>
            </w:pPr>
            <w:r w:rsidRPr="00F731C8"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45483F" w:rsidRPr="00F731C8" w:rsidRDefault="0045483F" w:rsidP="001413DA">
            <w:pPr>
              <w:jc w:val="center"/>
            </w:pPr>
            <w:r w:rsidRPr="00F731C8">
              <w:t xml:space="preserve">Джерела </w:t>
            </w:r>
            <w:proofErr w:type="spellStart"/>
            <w:r w:rsidRPr="00F731C8">
              <w:t>фінансу-вання</w:t>
            </w:r>
            <w:proofErr w:type="spellEnd"/>
          </w:p>
        </w:tc>
        <w:tc>
          <w:tcPr>
            <w:tcW w:w="3544" w:type="dxa"/>
            <w:gridSpan w:val="4"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  <w:r w:rsidRPr="00F731C8">
              <w:t xml:space="preserve">Орієнтовні обсяги фінансування (вартість), </w:t>
            </w:r>
            <w:proofErr w:type="spellStart"/>
            <w:r w:rsidRPr="00F731C8">
              <w:t>тис.грн</w:t>
            </w:r>
            <w:proofErr w:type="spellEnd"/>
            <w:r w:rsidRPr="00F731C8">
              <w:t>.</w:t>
            </w:r>
          </w:p>
        </w:tc>
      </w:tr>
      <w:tr w:rsidR="0045483F" w:rsidRPr="00721733" w:rsidTr="003442F3">
        <w:tc>
          <w:tcPr>
            <w:tcW w:w="421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5483F" w:rsidRPr="00F731C8" w:rsidRDefault="0045483F" w:rsidP="001413DA">
            <w:pPr>
              <w:jc w:val="center"/>
            </w:pPr>
            <w:r w:rsidRPr="00F731C8">
              <w:t>Всього</w:t>
            </w:r>
          </w:p>
        </w:tc>
        <w:tc>
          <w:tcPr>
            <w:tcW w:w="2126" w:type="dxa"/>
            <w:gridSpan w:val="3"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  <w:r w:rsidRPr="00F731C8">
              <w:t>у тому числі, за роками</w:t>
            </w:r>
          </w:p>
        </w:tc>
      </w:tr>
      <w:tr w:rsidR="0045483F" w:rsidRPr="00721733" w:rsidTr="003442F3">
        <w:tc>
          <w:tcPr>
            <w:tcW w:w="421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45483F" w:rsidRPr="00F731C8" w:rsidRDefault="0045483F" w:rsidP="001413DA">
            <w:pPr>
              <w:jc w:val="center"/>
            </w:pPr>
          </w:p>
        </w:tc>
        <w:tc>
          <w:tcPr>
            <w:tcW w:w="709" w:type="dxa"/>
          </w:tcPr>
          <w:p w:rsidR="0045483F" w:rsidRPr="00F731C8" w:rsidRDefault="0045483F" w:rsidP="00141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45483F" w:rsidRPr="00F731C8" w:rsidRDefault="0045483F" w:rsidP="00141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45483F" w:rsidRPr="00F731C8" w:rsidRDefault="0045483F" w:rsidP="00141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45483F" w:rsidRPr="00F731C8" w:rsidRDefault="0045483F" w:rsidP="001413DA">
            <w:pPr>
              <w:jc w:val="center"/>
              <w:rPr>
                <w:sz w:val="18"/>
                <w:szCs w:val="18"/>
              </w:rPr>
            </w:pPr>
          </w:p>
        </w:tc>
      </w:tr>
      <w:tr w:rsidR="0045483F" w:rsidRPr="00721733" w:rsidTr="003442F3">
        <w:tc>
          <w:tcPr>
            <w:tcW w:w="421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45483F" w:rsidRPr="00721733" w:rsidRDefault="0045483F" w:rsidP="001413DA">
            <w:pPr>
              <w:jc w:val="center"/>
              <w:rPr>
                <w:sz w:val="18"/>
                <w:szCs w:val="18"/>
                <w:lang w:eastAsia="ru-RU"/>
              </w:rPr>
            </w:pPr>
            <w:r w:rsidRPr="0072173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45483F" w:rsidRPr="00721733" w:rsidTr="003442F3">
        <w:tc>
          <w:tcPr>
            <w:tcW w:w="421" w:type="dxa"/>
            <w:vMerge w:val="restart"/>
          </w:tcPr>
          <w:p w:rsidR="0045483F" w:rsidRPr="00F731C8" w:rsidRDefault="0045483F" w:rsidP="00141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45483F" w:rsidRPr="003442F3" w:rsidRDefault="0045483F" w:rsidP="003442F3">
            <w:pPr>
              <w:jc w:val="both"/>
              <w:rPr>
                <w:sz w:val="20"/>
                <w:szCs w:val="20"/>
              </w:rPr>
            </w:pPr>
            <w:r w:rsidRPr="003442F3">
              <w:rPr>
                <w:sz w:val="20"/>
                <w:szCs w:val="20"/>
              </w:rPr>
              <w:t>1.1.</w:t>
            </w:r>
            <w:r w:rsidR="003442F3">
              <w:rPr>
                <w:sz w:val="20"/>
                <w:szCs w:val="20"/>
              </w:rPr>
              <w:t xml:space="preserve"> </w:t>
            </w:r>
            <w:r w:rsidRPr="003442F3">
              <w:rPr>
                <w:sz w:val="20"/>
                <w:szCs w:val="20"/>
              </w:rPr>
              <w:t>Виготовлення макетів практики  гігієни рук і друк, придбання макетів .</w:t>
            </w:r>
          </w:p>
          <w:p w:rsidR="0045483F" w:rsidRPr="003442F3" w:rsidRDefault="0045483F" w:rsidP="003442F3">
            <w:pPr>
              <w:jc w:val="both"/>
              <w:rPr>
                <w:sz w:val="20"/>
                <w:szCs w:val="20"/>
              </w:rPr>
            </w:pPr>
            <w:r w:rsidRPr="003442F3">
              <w:rPr>
                <w:sz w:val="20"/>
                <w:szCs w:val="20"/>
              </w:rPr>
              <w:t xml:space="preserve">1.2. Облаштування станцій для миття рук  в місцях надання медичної допомоги ( </w:t>
            </w:r>
            <w:proofErr w:type="spellStart"/>
            <w:r w:rsidRPr="003442F3">
              <w:rPr>
                <w:sz w:val="20"/>
                <w:szCs w:val="20"/>
              </w:rPr>
              <w:t>диспенсери</w:t>
            </w:r>
            <w:proofErr w:type="spellEnd"/>
            <w:r w:rsidRPr="003442F3">
              <w:rPr>
                <w:sz w:val="20"/>
                <w:szCs w:val="20"/>
              </w:rPr>
              <w:t xml:space="preserve"> для рідкого мила та антисептиків, рушничків)- придбання та встановлення </w:t>
            </w:r>
          </w:p>
          <w:p w:rsidR="0045483F" w:rsidRPr="003442F3" w:rsidRDefault="0045483F" w:rsidP="003442F3">
            <w:pPr>
              <w:jc w:val="both"/>
              <w:rPr>
                <w:bCs/>
                <w:sz w:val="20"/>
                <w:szCs w:val="20"/>
              </w:rPr>
            </w:pPr>
            <w:r w:rsidRPr="003442F3">
              <w:rPr>
                <w:sz w:val="20"/>
                <w:szCs w:val="20"/>
              </w:rPr>
              <w:t xml:space="preserve">1.3.Придбання </w:t>
            </w:r>
            <w:r w:rsidRPr="003442F3">
              <w:rPr>
                <w:bCs/>
                <w:sz w:val="20"/>
                <w:szCs w:val="20"/>
              </w:rPr>
              <w:t xml:space="preserve"> екранованих </w:t>
            </w:r>
            <w:proofErr w:type="spellStart"/>
            <w:r w:rsidRPr="003442F3">
              <w:rPr>
                <w:bCs/>
                <w:sz w:val="20"/>
                <w:szCs w:val="20"/>
              </w:rPr>
              <w:t>опромінювачів</w:t>
            </w:r>
            <w:proofErr w:type="spellEnd"/>
            <w:r w:rsidR="0026295E" w:rsidRPr="003442F3">
              <w:rPr>
                <w:bCs/>
                <w:sz w:val="20"/>
                <w:szCs w:val="20"/>
              </w:rPr>
              <w:t xml:space="preserve"> </w:t>
            </w:r>
            <w:r w:rsidRPr="003442F3">
              <w:rPr>
                <w:bCs/>
                <w:sz w:val="20"/>
                <w:szCs w:val="20"/>
              </w:rPr>
              <w:t xml:space="preserve">(бактерицидних ламп закритого типу) </w:t>
            </w:r>
            <w:r w:rsidR="003442F3">
              <w:rPr>
                <w:sz w:val="20"/>
                <w:szCs w:val="20"/>
              </w:rPr>
              <w:t>.</w:t>
            </w:r>
            <w:r w:rsidRPr="003442F3">
              <w:rPr>
                <w:sz w:val="20"/>
                <w:szCs w:val="20"/>
              </w:rPr>
              <w:t xml:space="preserve"> </w:t>
            </w:r>
          </w:p>
          <w:p w:rsidR="0045483F" w:rsidRPr="003442F3" w:rsidRDefault="0045483F" w:rsidP="003442F3">
            <w:pPr>
              <w:jc w:val="both"/>
              <w:rPr>
                <w:bCs/>
                <w:sz w:val="20"/>
                <w:szCs w:val="20"/>
              </w:rPr>
            </w:pPr>
            <w:r w:rsidRPr="003442F3">
              <w:rPr>
                <w:bCs/>
                <w:sz w:val="20"/>
                <w:szCs w:val="20"/>
              </w:rPr>
              <w:t xml:space="preserve">1.4. Придбання респіраторів типу  </w:t>
            </w:r>
            <w:r w:rsidRPr="003442F3">
              <w:rPr>
                <w:sz w:val="20"/>
                <w:szCs w:val="20"/>
              </w:rPr>
              <w:t xml:space="preserve"> FFP3</w:t>
            </w:r>
            <w:r w:rsidRPr="003442F3">
              <w:rPr>
                <w:bCs/>
                <w:sz w:val="20"/>
                <w:szCs w:val="20"/>
              </w:rPr>
              <w:t xml:space="preserve"> для надання допомоги пацієнтам з туберкульозом.</w:t>
            </w:r>
          </w:p>
          <w:p w:rsidR="0045483F" w:rsidRPr="003442F3" w:rsidRDefault="0045483F" w:rsidP="003442F3">
            <w:pPr>
              <w:jc w:val="both"/>
              <w:rPr>
                <w:bCs/>
                <w:sz w:val="20"/>
                <w:szCs w:val="20"/>
              </w:rPr>
            </w:pPr>
            <w:r w:rsidRPr="003442F3">
              <w:rPr>
                <w:bCs/>
                <w:sz w:val="20"/>
                <w:szCs w:val="20"/>
              </w:rPr>
              <w:t>1.5. Придбання контейнерів для знезараження інструментарію, деструкторів для голок</w:t>
            </w:r>
          </w:p>
          <w:p w:rsidR="0045483F" w:rsidRPr="003442F3" w:rsidRDefault="0045483F" w:rsidP="003442F3">
            <w:pPr>
              <w:jc w:val="both"/>
              <w:rPr>
                <w:bCs/>
                <w:sz w:val="20"/>
                <w:szCs w:val="20"/>
              </w:rPr>
            </w:pPr>
            <w:r w:rsidRPr="003442F3">
              <w:rPr>
                <w:bCs/>
                <w:sz w:val="20"/>
                <w:szCs w:val="20"/>
              </w:rPr>
              <w:t>1.6. Оплата послуг по знезараженню відходів</w:t>
            </w:r>
            <w:r w:rsidR="003442F3">
              <w:rPr>
                <w:bCs/>
                <w:sz w:val="20"/>
                <w:szCs w:val="20"/>
              </w:rPr>
              <w:t>.</w:t>
            </w:r>
          </w:p>
          <w:p w:rsidR="0026295E" w:rsidRPr="003442F3" w:rsidRDefault="0026295E" w:rsidP="003442F3">
            <w:pPr>
              <w:jc w:val="both"/>
              <w:rPr>
                <w:bCs/>
                <w:sz w:val="20"/>
                <w:szCs w:val="20"/>
              </w:rPr>
            </w:pPr>
            <w:r w:rsidRPr="003442F3">
              <w:rPr>
                <w:bCs/>
                <w:sz w:val="20"/>
                <w:szCs w:val="20"/>
              </w:rPr>
              <w:t>1.7. Придбання паливно- мастильних матеріалів</w:t>
            </w:r>
            <w:r w:rsidR="003442F3">
              <w:rPr>
                <w:bCs/>
                <w:sz w:val="20"/>
                <w:szCs w:val="20"/>
              </w:rPr>
              <w:t xml:space="preserve"> для забезпечення виконання заходів </w:t>
            </w:r>
            <w:proofErr w:type="spellStart"/>
            <w:r w:rsidR="003442F3">
              <w:rPr>
                <w:bCs/>
                <w:sz w:val="20"/>
                <w:szCs w:val="20"/>
              </w:rPr>
              <w:t>пригрома</w:t>
            </w:r>
            <w:proofErr w:type="spellEnd"/>
          </w:p>
          <w:p w:rsidR="0045483F" w:rsidRPr="00273D67" w:rsidRDefault="0045483F" w:rsidP="001413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5483F" w:rsidRPr="00F731C8" w:rsidRDefault="0045483F" w:rsidP="001413DA">
            <w:pPr>
              <w:jc w:val="center"/>
              <w:rPr>
                <w:sz w:val="16"/>
                <w:szCs w:val="16"/>
              </w:rPr>
            </w:pPr>
            <w:r w:rsidRPr="00F731C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F731C8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45483F" w:rsidRDefault="009B4F57" w:rsidP="00141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КНП «Овруцька міська лікарня» </w:t>
            </w:r>
          </w:p>
          <w:p w:rsidR="009B4F57" w:rsidRPr="00F731C8" w:rsidRDefault="009B4F57" w:rsidP="00141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Овруцька міська рада</w:t>
            </w:r>
          </w:p>
        </w:tc>
        <w:tc>
          <w:tcPr>
            <w:tcW w:w="1417" w:type="dxa"/>
          </w:tcPr>
          <w:p w:rsidR="00206B66" w:rsidRDefault="0045483F" w:rsidP="001413DA">
            <w:pPr>
              <w:rPr>
                <w:sz w:val="16"/>
                <w:szCs w:val="16"/>
              </w:rPr>
            </w:pPr>
            <w:r w:rsidRPr="00F731C8">
              <w:rPr>
                <w:sz w:val="16"/>
                <w:szCs w:val="16"/>
              </w:rPr>
              <w:t>Бюджет Овруцької міської</w:t>
            </w:r>
            <w:r w:rsidR="00206B66">
              <w:rPr>
                <w:sz w:val="16"/>
                <w:szCs w:val="16"/>
              </w:rPr>
              <w:t xml:space="preserve"> територіальної громади</w:t>
            </w:r>
            <w:r w:rsidRPr="00F731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</w:p>
          <w:p w:rsidR="0045483F" w:rsidRPr="00F731C8" w:rsidRDefault="0045483F" w:rsidP="00141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НСЗУ</w:t>
            </w:r>
          </w:p>
          <w:p w:rsidR="0045483F" w:rsidRPr="00F731C8" w:rsidRDefault="0045483F" w:rsidP="001413DA">
            <w:pPr>
              <w:rPr>
                <w:sz w:val="16"/>
                <w:szCs w:val="16"/>
              </w:rPr>
            </w:pPr>
            <w:r w:rsidRPr="00F731C8">
              <w:rPr>
                <w:sz w:val="16"/>
                <w:szCs w:val="16"/>
              </w:rPr>
              <w:t>інші бюджети, інші джерела не заборонені законодавством</w:t>
            </w:r>
          </w:p>
        </w:tc>
        <w:tc>
          <w:tcPr>
            <w:tcW w:w="1418" w:type="dxa"/>
          </w:tcPr>
          <w:p w:rsidR="0045483F" w:rsidRPr="00F731C8" w:rsidRDefault="0045483F" w:rsidP="001413DA">
            <w:pPr>
              <w:jc w:val="center"/>
              <w:rPr>
                <w:sz w:val="16"/>
                <w:szCs w:val="16"/>
              </w:rPr>
            </w:pPr>
            <w:r w:rsidRPr="00F731C8">
              <w:rPr>
                <w:sz w:val="16"/>
                <w:szCs w:val="16"/>
              </w:rPr>
              <w:t>В межах фінансових можливостей</w:t>
            </w:r>
            <w:r w:rsidR="00206B66">
              <w:rPr>
                <w:sz w:val="16"/>
                <w:szCs w:val="16"/>
              </w:rPr>
              <w:t xml:space="preserve"> </w:t>
            </w:r>
            <w:r w:rsidRPr="00F731C8">
              <w:rPr>
                <w:sz w:val="16"/>
                <w:szCs w:val="16"/>
              </w:rPr>
              <w:t>(бюджетних призначень)</w:t>
            </w:r>
          </w:p>
        </w:tc>
        <w:tc>
          <w:tcPr>
            <w:tcW w:w="2126" w:type="dxa"/>
            <w:gridSpan w:val="3"/>
          </w:tcPr>
          <w:p w:rsidR="0045483F" w:rsidRPr="003F08F8" w:rsidRDefault="0045483F" w:rsidP="001413DA">
            <w:pPr>
              <w:jc w:val="center"/>
              <w:rPr>
                <w:sz w:val="16"/>
                <w:szCs w:val="16"/>
                <w:lang w:eastAsia="ru-RU"/>
              </w:rPr>
            </w:pPr>
            <w:r w:rsidRPr="00F731C8">
              <w:rPr>
                <w:sz w:val="16"/>
                <w:szCs w:val="16"/>
              </w:rPr>
              <w:t>В межах фінансових можливостей(бюджетних призначень)</w:t>
            </w:r>
          </w:p>
        </w:tc>
      </w:tr>
      <w:tr w:rsidR="0045483F" w:rsidRPr="000F24E9" w:rsidTr="003442F3">
        <w:tc>
          <w:tcPr>
            <w:tcW w:w="421" w:type="dxa"/>
            <w:vMerge/>
          </w:tcPr>
          <w:p w:rsidR="0045483F" w:rsidRPr="00721733" w:rsidRDefault="0045483F" w:rsidP="001413DA">
            <w:pPr>
              <w:jc w:val="center"/>
              <w:rPr>
                <w:lang w:eastAsia="ru-RU"/>
              </w:rPr>
            </w:pPr>
            <w:bookmarkStart w:id="3" w:name="_Hlk93392262"/>
          </w:p>
        </w:tc>
        <w:tc>
          <w:tcPr>
            <w:tcW w:w="2409" w:type="dxa"/>
          </w:tcPr>
          <w:p w:rsidR="0045483F" w:rsidRPr="000F24E9" w:rsidRDefault="0045483F" w:rsidP="001413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483F" w:rsidRPr="000F24E9" w:rsidRDefault="0045483F" w:rsidP="00141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483F" w:rsidRPr="000F24E9" w:rsidRDefault="0045483F" w:rsidP="001413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483F" w:rsidRPr="000F24E9" w:rsidRDefault="0045483F" w:rsidP="001413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483F" w:rsidRPr="000F24E9" w:rsidRDefault="0045483F" w:rsidP="00141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483F" w:rsidRPr="000F24E9" w:rsidRDefault="0045483F" w:rsidP="001413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5483F" w:rsidRPr="000F24E9" w:rsidRDefault="0045483F" w:rsidP="001413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5483F" w:rsidRPr="000F24E9" w:rsidRDefault="0045483F" w:rsidP="001413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bookmarkEnd w:id="3"/>
    </w:tbl>
    <w:p w:rsidR="0045483F" w:rsidRPr="007E3BD7" w:rsidRDefault="0045483F" w:rsidP="0045483F">
      <w:pPr>
        <w:tabs>
          <w:tab w:val="left" w:pos="352"/>
        </w:tabs>
        <w:spacing w:line="322" w:lineRule="exact"/>
        <w:jc w:val="both"/>
        <w:rPr>
          <w:sz w:val="28"/>
          <w:szCs w:val="28"/>
        </w:rPr>
      </w:pPr>
    </w:p>
    <w:p w:rsidR="0045483F" w:rsidRDefault="009B4F57" w:rsidP="0045483F">
      <w:pPr>
        <w:tabs>
          <w:tab w:val="left" w:pos="35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Головний розпорядник бюджетних коштів – Овруцька міська рада. Розпорядник коштів бюджету нижчого рівня- КНП «Овруцький ЦПМСД».</w:t>
      </w:r>
    </w:p>
    <w:p w:rsidR="009B4F57" w:rsidRPr="007E3BD7" w:rsidRDefault="009B4F57" w:rsidP="0045483F">
      <w:pPr>
        <w:tabs>
          <w:tab w:val="left" w:pos="352"/>
        </w:tabs>
        <w:spacing w:line="322" w:lineRule="exact"/>
        <w:jc w:val="both"/>
        <w:rPr>
          <w:sz w:val="28"/>
          <w:szCs w:val="28"/>
        </w:rPr>
      </w:pPr>
    </w:p>
    <w:p w:rsidR="0045483F" w:rsidRPr="007E3BD7" w:rsidRDefault="0045483F" w:rsidP="0045483F">
      <w:pPr>
        <w:numPr>
          <w:ilvl w:val="0"/>
          <w:numId w:val="1"/>
        </w:numPr>
        <w:tabs>
          <w:tab w:val="left" w:pos="3713"/>
        </w:tabs>
        <w:suppressAutoHyphens w:val="0"/>
        <w:spacing w:after="309" w:line="280" w:lineRule="exact"/>
        <w:ind w:left="3340"/>
        <w:jc w:val="both"/>
        <w:outlineLvl w:val="1"/>
        <w:rPr>
          <w:b/>
          <w:bCs/>
          <w:sz w:val="28"/>
          <w:szCs w:val="28"/>
          <w:lang w:val="ru-RU"/>
        </w:rPr>
      </w:pPr>
      <w:bookmarkStart w:id="4" w:name="bookmark3"/>
      <w:proofErr w:type="spellStart"/>
      <w:r>
        <w:rPr>
          <w:b/>
          <w:bCs/>
          <w:sz w:val="28"/>
          <w:szCs w:val="28"/>
          <w:lang w:val="ru-RU"/>
        </w:rPr>
        <w:t>О</w:t>
      </w:r>
      <w:r w:rsidRPr="007E3BD7">
        <w:rPr>
          <w:b/>
          <w:bCs/>
          <w:sz w:val="28"/>
          <w:szCs w:val="28"/>
          <w:lang w:val="ru-RU"/>
        </w:rPr>
        <w:t>чікувані</w:t>
      </w:r>
      <w:proofErr w:type="spellEnd"/>
      <w:r w:rsidRPr="007E3BD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E3BD7">
        <w:rPr>
          <w:b/>
          <w:bCs/>
          <w:sz w:val="28"/>
          <w:szCs w:val="28"/>
          <w:lang w:val="ru-RU"/>
        </w:rPr>
        <w:t>результати</w:t>
      </w:r>
      <w:bookmarkEnd w:id="4"/>
      <w:proofErr w:type="spellEnd"/>
    </w:p>
    <w:p w:rsidR="0045483F" w:rsidRPr="003442F3" w:rsidRDefault="0045483F" w:rsidP="003442F3">
      <w:pPr>
        <w:spacing w:line="322" w:lineRule="exact"/>
        <w:ind w:firstLine="880"/>
        <w:jc w:val="both"/>
      </w:pPr>
      <w:r w:rsidRPr="003442F3">
        <w:t>Прийняття комплексної Програми з інфекційного контролю та дотримання заходів із запобігання інфекцій, пов’язаних з наданням медичної допомоги в КНП  «Овруцький  ЦПМСД»   дасть можливість знизити рівень захворювань, пов'язаних з цими інфекціями, а також забезпечить безпечність надання медичних послуг.</w:t>
      </w:r>
    </w:p>
    <w:p w:rsidR="0045483F" w:rsidRPr="003442F3" w:rsidRDefault="0045483F" w:rsidP="003442F3">
      <w:pPr>
        <w:spacing w:line="322" w:lineRule="exact"/>
        <w:ind w:firstLine="880"/>
        <w:jc w:val="both"/>
        <w:rPr>
          <w:lang w:val="ru-RU"/>
        </w:rPr>
      </w:pPr>
      <w:proofErr w:type="spellStart"/>
      <w:r w:rsidRPr="003442F3">
        <w:rPr>
          <w:lang w:val="ru-RU"/>
        </w:rPr>
        <w:t>Виконання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Програми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забезпечить</w:t>
      </w:r>
      <w:proofErr w:type="spellEnd"/>
      <w:r w:rsidRPr="003442F3">
        <w:rPr>
          <w:lang w:val="ru-RU"/>
        </w:rPr>
        <w:t>: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1117"/>
        </w:tabs>
        <w:suppressAutoHyphens w:val="0"/>
        <w:spacing w:line="322" w:lineRule="exact"/>
        <w:ind w:firstLine="880"/>
        <w:jc w:val="both"/>
        <w:rPr>
          <w:lang w:val="ru-RU"/>
        </w:rPr>
      </w:pPr>
      <w:proofErr w:type="spellStart"/>
      <w:r w:rsidRPr="003442F3">
        <w:rPr>
          <w:lang w:val="ru-RU"/>
        </w:rPr>
        <w:t>впровадження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ефективних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протиепідемічних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заходів</w:t>
      </w:r>
      <w:proofErr w:type="spellEnd"/>
      <w:r w:rsidRPr="003442F3">
        <w:rPr>
          <w:lang w:val="ru-RU"/>
        </w:rPr>
        <w:t xml:space="preserve"> в </w:t>
      </w:r>
      <w:proofErr w:type="spellStart"/>
      <w:r w:rsidRPr="003442F3">
        <w:rPr>
          <w:lang w:val="ru-RU"/>
        </w:rPr>
        <w:t>умовах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розвитку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епідемії</w:t>
      </w:r>
      <w:proofErr w:type="spellEnd"/>
      <w:r w:rsidRPr="003442F3">
        <w:rPr>
          <w:lang w:val="ru-RU"/>
        </w:rPr>
        <w:t xml:space="preserve"> ВІЛ/</w:t>
      </w:r>
      <w:proofErr w:type="spellStart"/>
      <w:r w:rsidRPr="003442F3">
        <w:rPr>
          <w:lang w:val="ru-RU"/>
        </w:rPr>
        <w:t>СНІДу</w:t>
      </w:r>
      <w:proofErr w:type="spellEnd"/>
      <w:r w:rsidRPr="003442F3">
        <w:rPr>
          <w:lang w:val="ru-RU"/>
        </w:rPr>
        <w:t xml:space="preserve">, </w:t>
      </w:r>
      <w:proofErr w:type="spellStart"/>
      <w:r w:rsidRPr="003442F3">
        <w:rPr>
          <w:lang w:val="ru-RU"/>
        </w:rPr>
        <w:t>коронавірусної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хворобт</w:t>
      </w:r>
      <w:proofErr w:type="spellEnd"/>
      <w:r w:rsidRPr="003442F3">
        <w:rPr>
          <w:lang w:val="ru-RU"/>
        </w:rPr>
        <w:t xml:space="preserve"> </w:t>
      </w:r>
      <w:r w:rsidRPr="003442F3">
        <w:rPr>
          <w:lang w:val="en-US"/>
        </w:rPr>
        <w:t>C</w:t>
      </w:r>
      <w:r w:rsidRPr="003442F3">
        <w:t>О</w:t>
      </w:r>
      <w:r w:rsidRPr="003442F3">
        <w:rPr>
          <w:lang w:val="en-US"/>
        </w:rPr>
        <w:t>VID</w:t>
      </w:r>
      <w:r w:rsidRPr="003442F3">
        <w:t xml:space="preserve">-19, </w:t>
      </w:r>
      <w:proofErr w:type="spellStart"/>
      <w:r w:rsidRPr="003442F3">
        <w:rPr>
          <w:lang w:val="ru-RU"/>
        </w:rPr>
        <w:t>туберкульозу</w:t>
      </w:r>
      <w:proofErr w:type="spellEnd"/>
      <w:r w:rsidRPr="003442F3">
        <w:rPr>
          <w:lang w:val="ru-RU"/>
        </w:rPr>
        <w:t xml:space="preserve">, </w:t>
      </w:r>
      <w:proofErr w:type="spellStart"/>
      <w:r w:rsidRPr="003442F3">
        <w:rPr>
          <w:lang w:val="ru-RU"/>
        </w:rPr>
        <w:t>вірусних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гепатитів</w:t>
      </w:r>
      <w:proofErr w:type="spellEnd"/>
      <w:r w:rsidRPr="003442F3">
        <w:rPr>
          <w:lang w:val="ru-RU"/>
        </w:rPr>
        <w:t xml:space="preserve"> та </w:t>
      </w:r>
      <w:proofErr w:type="spellStart"/>
      <w:r w:rsidRPr="003442F3">
        <w:rPr>
          <w:lang w:val="ru-RU"/>
        </w:rPr>
        <w:t>інших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небезпечних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</w:t>
      </w:r>
      <w:proofErr w:type="spellEnd"/>
      <w:r w:rsidRPr="003442F3">
        <w:rPr>
          <w:lang w:val="ru-RU"/>
        </w:rPr>
        <w:t>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1117"/>
        </w:tabs>
        <w:suppressAutoHyphens w:val="0"/>
        <w:spacing w:line="322" w:lineRule="exact"/>
        <w:ind w:firstLine="880"/>
        <w:jc w:val="both"/>
        <w:rPr>
          <w:lang w:val="ru-RU"/>
        </w:rPr>
      </w:pPr>
      <w:proofErr w:type="spellStart"/>
      <w:r w:rsidRPr="003442F3">
        <w:rPr>
          <w:lang w:val="ru-RU"/>
        </w:rPr>
        <w:t>зниження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рівня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захворюваності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інфекційними</w:t>
      </w:r>
      <w:proofErr w:type="spellEnd"/>
      <w:r w:rsidRPr="003442F3">
        <w:rPr>
          <w:lang w:val="ru-RU"/>
        </w:rPr>
        <w:t xml:space="preserve"> хворобами;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1117"/>
        </w:tabs>
        <w:suppressAutoHyphens w:val="0"/>
        <w:spacing w:line="322" w:lineRule="exact"/>
        <w:ind w:firstLine="880"/>
        <w:jc w:val="both"/>
        <w:rPr>
          <w:lang w:val="ru-RU"/>
        </w:rPr>
      </w:pPr>
      <w:proofErr w:type="spellStart"/>
      <w:r w:rsidRPr="003442F3">
        <w:rPr>
          <w:lang w:val="ru-RU"/>
        </w:rPr>
        <w:t>впровадження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методів</w:t>
      </w:r>
      <w:proofErr w:type="spellEnd"/>
      <w:r w:rsidRPr="003442F3">
        <w:rPr>
          <w:lang w:val="ru-RU"/>
        </w:rPr>
        <w:t xml:space="preserve"> та </w:t>
      </w:r>
      <w:proofErr w:type="spellStart"/>
      <w:r w:rsidRPr="003442F3">
        <w:rPr>
          <w:lang w:val="ru-RU"/>
        </w:rPr>
        <w:t>режимів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дезінфекції</w:t>
      </w:r>
      <w:proofErr w:type="spellEnd"/>
      <w:r w:rsidRPr="003442F3">
        <w:rPr>
          <w:lang w:val="ru-RU"/>
        </w:rPr>
        <w:t xml:space="preserve"> в практику </w:t>
      </w:r>
      <w:proofErr w:type="spellStart"/>
      <w:r w:rsidRPr="003442F3">
        <w:rPr>
          <w:lang w:val="ru-RU"/>
        </w:rPr>
        <w:t>роботи</w:t>
      </w:r>
      <w:proofErr w:type="spellEnd"/>
      <w:r w:rsidRPr="003442F3">
        <w:rPr>
          <w:lang w:val="ru-RU"/>
        </w:rPr>
        <w:t xml:space="preserve"> закладу;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1143"/>
        </w:tabs>
        <w:suppressAutoHyphens w:val="0"/>
        <w:spacing w:line="322" w:lineRule="exact"/>
        <w:ind w:firstLine="880"/>
        <w:jc w:val="both"/>
        <w:rPr>
          <w:lang w:val="ru-RU"/>
        </w:rPr>
      </w:pPr>
      <w:proofErr w:type="spellStart"/>
      <w:r w:rsidRPr="003442F3">
        <w:rPr>
          <w:lang w:val="ru-RU"/>
        </w:rPr>
        <w:t>забезпечення</w:t>
      </w:r>
      <w:proofErr w:type="spellEnd"/>
      <w:r w:rsidRPr="003442F3">
        <w:rPr>
          <w:lang w:val="ru-RU"/>
        </w:rPr>
        <w:t xml:space="preserve"> закладу </w:t>
      </w:r>
      <w:proofErr w:type="spellStart"/>
      <w:r w:rsidRPr="003442F3">
        <w:rPr>
          <w:lang w:val="ru-RU"/>
        </w:rPr>
        <w:t>засобами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дезінфекції</w:t>
      </w:r>
      <w:proofErr w:type="spellEnd"/>
      <w:r w:rsidRPr="003442F3">
        <w:rPr>
          <w:lang w:val="ru-RU"/>
        </w:rPr>
        <w:t>;</w:t>
      </w:r>
    </w:p>
    <w:p w:rsidR="0045483F" w:rsidRPr="003442F3" w:rsidRDefault="0045483F" w:rsidP="003442F3">
      <w:pPr>
        <w:numPr>
          <w:ilvl w:val="0"/>
          <w:numId w:val="2"/>
        </w:numPr>
        <w:tabs>
          <w:tab w:val="left" w:pos="1143"/>
        </w:tabs>
        <w:suppressAutoHyphens w:val="0"/>
        <w:spacing w:line="322" w:lineRule="exact"/>
        <w:ind w:firstLine="880"/>
        <w:jc w:val="both"/>
        <w:rPr>
          <w:lang w:val="ru-RU"/>
        </w:rPr>
      </w:pPr>
      <w:proofErr w:type="spellStart"/>
      <w:r w:rsidRPr="003442F3">
        <w:rPr>
          <w:lang w:val="ru-RU"/>
        </w:rPr>
        <w:t>підвищення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рівня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захисту</w:t>
      </w:r>
      <w:proofErr w:type="spellEnd"/>
      <w:r w:rsidRPr="003442F3">
        <w:rPr>
          <w:lang w:val="ru-RU"/>
        </w:rPr>
        <w:t xml:space="preserve"> </w:t>
      </w:r>
      <w:proofErr w:type="spellStart"/>
      <w:r w:rsidRPr="003442F3">
        <w:rPr>
          <w:lang w:val="ru-RU"/>
        </w:rPr>
        <w:t>медичного</w:t>
      </w:r>
      <w:proofErr w:type="spellEnd"/>
      <w:r w:rsidRPr="003442F3">
        <w:rPr>
          <w:lang w:val="ru-RU"/>
        </w:rPr>
        <w:t xml:space="preserve"> персоналу та </w:t>
      </w:r>
      <w:proofErr w:type="spellStart"/>
      <w:r w:rsidRPr="003442F3">
        <w:rPr>
          <w:lang w:val="ru-RU"/>
        </w:rPr>
        <w:t>відвідувачів</w:t>
      </w:r>
      <w:proofErr w:type="spellEnd"/>
      <w:r w:rsidRPr="003442F3">
        <w:rPr>
          <w:lang w:val="ru-RU"/>
        </w:rPr>
        <w:t>.</w:t>
      </w:r>
    </w:p>
    <w:p w:rsidR="0045483F" w:rsidRPr="003442F3" w:rsidRDefault="0045483F" w:rsidP="003442F3">
      <w:pPr>
        <w:tabs>
          <w:tab w:val="left" w:pos="1143"/>
        </w:tabs>
        <w:spacing w:line="322" w:lineRule="exact"/>
        <w:ind w:left="880"/>
        <w:jc w:val="both"/>
        <w:rPr>
          <w:lang w:val="ru-RU"/>
        </w:rPr>
      </w:pPr>
    </w:p>
    <w:p w:rsidR="0045483F" w:rsidRPr="003442F3" w:rsidRDefault="0045483F" w:rsidP="003442F3">
      <w:pPr>
        <w:tabs>
          <w:tab w:val="left" w:pos="1276"/>
          <w:tab w:val="left" w:pos="1418"/>
        </w:tabs>
        <w:ind w:left="1701"/>
        <w:jc w:val="both"/>
        <w:rPr>
          <w:b/>
          <w:lang w:eastAsia="ru-RU"/>
        </w:rPr>
      </w:pPr>
      <w:r w:rsidRPr="003442F3">
        <w:rPr>
          <w:b/>
          <w:lang w:eastAsia="ru-RU"/>
        </w:rPr>
        <w:t>5</w:t>
      </w:r>
      <w:r w:rsidRPr="003442F3">
        <w:rPr>
          <w:b/>
          <w:lang w:val="ru-RU" w:eastAsia="ru-RU"/>
        </w:rPr>
        <w:t xml:space="preserve">. </w:t>
      </w:r>
      <w:r w:rsidRPr="003442F3">
        <w:rPr>
          <w:b/>
          <w:lang w:eastAsia="ru-RU"/>
        </w:rPr>
        <w:t>Координація та контроль за ходом виконання Програми</w:t>
      </w:r>
    </w:p>
    <w:p w:rsidR="0045483F" w:rsidRPr="003442F3" w:rsidRDefault="0045483F" w:rsidP="003442F3">
      <w:pPr>
        <w:tabs>
          <w:tab w:val="left" w:pos="1276"/>
          <w:tab w:val="left" w:pos="1418"/>
        </w:tabs>
        <w:ind w:left="1701"/>
        <w:jc w:val="both"/>
        <w:rPr>
          <w:b/>
          <w:lang w:eastAsia="ru-RU"/>
        </w:rPr>
      </w:pPr>
    </w:p>
    <w:p w:rsidR="0045483F" w:rsidRPr="003442F3" w:rsidRDefault="0045483F" w:rsidP="003442F3">
      <w:pPr>
        <w:ind w:left="426" w:right="-285" w:firstLine="708"/>
        <w:jc w:val="both"/>
      </w:pPr>
      <w:r w:rsidRPr="003442F3">
        <w:t xml:space="preserve">Організаційний супровід та координацію діяльності щодо виконання Програми здійснює Овруцька міська рада (виконавчий орган) спільно з КНП «Овруцький ЦПМСД». </w:t>
      </w:r>
    </w:p>
    <w:p w:rsidR="0045483F" w:rsidRPr="003442F3" w:rsidRDefault="0045483F" w:rsidP="003442F3">
      <w:pPr>
        <w:ind w:left="426" w:right="-285" w:firstLine="708"/>
        <w:jc w:val="both"/>
      </w:pPr>
      <w:r w:rsidRPr="003442F3">
        <w:t>Контроль за виконанням Програми здійснюється постійною комісією Овруцької міської  ради з гуманітарних питань, освіти, медицини, культури, фізичного виховання та соціального захисту населення.</w:t>
      </w:r>
    </w:p>
    <w:p w:rsidR="0045483F" w:rsidRPr="003442F3" w:rsidRDefault="0045483F" w:rsidP="003442F3">
      <w:pPr>
        <w:ind w:left="426" w:right="-285" w:firstLine="708"/>
        <w:jc w:val="both"/>
      </w:pPr>
      <w:r w:rsidRPr="003442F3">
        <w:t xml:space="preserve">Розпорядник бюджетних коштів (виконавець Програми- «Овруцький ЦПМСД») забезпечує цільове та ефективне використання бюджетних коштів в установленому порядку протягом усього строку реалізації Програми в межах визначених бюджетних призначень. </w:t>
      </w:r>
    </w:p>
    <w:p w:rsidR="0045483F" w:rsidRPr="003442F3" w:rsidRDefault="0045483F" w:rsidP="003442F3">
      <w:pPr>
        <w:ind w:left="426" w:firstLine="282"/>
        <w:jc w:val="both"/>
      </w:pPr>
      <w:r w:rsidRPr="003442F3">
        <w:t>КНП «Овруцький ЦПМСД»  подає щорічно до 20 січня наступного за звітним роком Овруцькій міській раді звіт  про виконання Програми.</w:t>
      </w:r>
    </w:p>
    <w:p w:rsidR="0045483F" w:rsidRPr="003442F3" w:rsidRDefault="0045483F" w:rsidP="003442F3">
      <w:pPr>
        <w:ind w:left="426"/>
        <w:jc w:val="both"/>
      </w:pPr>
    </w:p>
    <w:p w:rsidR="0045483F" w:rsidRPr="003442F3" w:rsidRDefault="0045483F" w:rsidP="003442F3">
      <w:pPr>
        <w:spacing w:line="280" w:lineRule="exact"/>
        <w:jc w:val="both"/>
      </w:pPr>
    </w:p>
    <w:p w:rsidR="0045483F" w:rsidRPr="003442F3" w:rsidRDefault="0045483F" w:rsidP="003442F3">
      <w:pPr>
        <w:jc w:val="both"/>
        <w:rPr>
          <w:rFonts w:ascii="Bookman Old Style" w:hAnsi="Bookman Old Style"/>
          <w:color w:val="000000"/>
        </w:rPr>
      </w:pPr>
    </w:p>
    <w:p w:rsidR="0045483F" w:rsidRDefault="0045483F" w:rsidP="0045483F">
      <w:pPr>
        <w:jc w:val="center"/>
        <w:rPr>
          <w:rFonts w:ascii="Bookman Old Style" w:hAnsi="Bookman Old Style"/>
          <w:color w:val="000000"/>
        </w:rPr>
      </w:pPr>
    </w:p>
    <w:p w:rsidR="0045483F" w:rsidRDefault="0045483F" w:rsidP="0045483F">
      <w:pPr>
        <w:jc w:val="center"/>
        <w:rPr>
          <w:rFonts w:ascii="Bookman Old Style" w:hAnsi="Bookman Old Style"/>
          <w:color w:val="000000"/>
        </w:rPr>
      </w:pPr>
    </w:p>
    <w:p w:rsidR="0045483F" w:rsidRPr="00DE3E7F" w:rsidRDefault="0045483F" w:rsidP="0045483F">
      <w:pPr>
        <w:jc w:val="center"/>
        <w:rPr>
          <w:rFonts w:ascii="Bookman Old Style" w:hAnsi="Bookman Old Style"/>
          <w:color w:val="000000"/>
        </w:rPr>
      </w:pPr>
    </w:p>
    <w:p w:rsidR="0045483F" w:rsidRPr="00C55B6D" w:rsidRDefault="0045483F" w:rsidP="0045483F">
      <w:pPr>
        <w:ind w:right="49"/>
        <w:jc w:val="center"/>
        <w:rPr>
          <w:rFonts w:ascii="Bookman Old Style" w:hAnsi="Bookman Old Style"/>
          <w:b/>
          <w:bCs/>
        </w:rPr>
      </w:pPr>
    </w:p>
    <w:p w:rsidR="0045483F" w:rsidRPr="00C55B6D" w:rsidRDefault="0045483F" w:rsidP="0045483F">
      <w:pPr>
        <w:ind w:right="49"/>
        <w:jc w:val="center"/>
        <w:rPr>
          <w:rFonts w:ascii="Bookman Old Style" w:hAnsi="Bookman Old Style"/>
          <w:b/>
          <w:bCs/>
        </w:rPr>
      </w:pPr>
    </w:p>
    <w:p w:rsidR="007E395A" w:rsidRDefault="007E395A"/>
    <w:sectPr w:rsidR="007E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79E5"/>
    <w:multiLevelType w:val="multilevel"/>
    <w:tmpl w:val="57A61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14EFC"/>
    <w:multiLevelType w:val="multilevel"/>
    <w:tmpl w:val="D4A8AE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3F"/>
    <w:rsid w:val="00205122"/>
    <w:rsid w:val="00206B66"/>
    <w:rsid w:val="0026295E"/>
    <w:rsid w:val="003442F3"/>
    <w:rsid w:val="0045483F"/>
    <w:rsid w:val="00464E3D"/>
    <w:rsid w:val="004A6FA7"/>
    <w:rsid w:val="00623717"/>
    <w:rsid w:val="007E395A"/>
    <w:rsid w:val="00826652"/>
    <w:rsid w:val="009B4F57"/>
    <w:rsid w:val="00A2760A"/>
    <w:rsid w:val="00B44758"/>
    <w:rsid w:val="00B76FBD"/>
    <w:rsid w:val="00BE4223"/>
    <w:rsid w:val="00C90A47"/>
    <w:rsid w:val="00CE67B0"/>
    <w:rsid w:val="00E6369B"/>
    <w:rsid w:val="00F02217"/>
    <w:rsid w:val="00FA7022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3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F1"/>
    <w:rPr>
      <w:rFonts w:ascii="Tahoma" w:eastAsia="Times New Roman" w:hAnsi="Tahoma" w:cs="Tahoma"/>
      <w:kern w:val="1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3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F1"/>
    <w:rPr>
      <w:rFonts w:ascii="Tahoma" w:eastAsia="Times New Roman" w:hAnsi="Tahoma" w:cs="Tahoma"/>
      <w:kern w:val="1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5707</Words>
  <Characters>3254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22</cp:revision>
  <dcterms:created xsi:type="dcterms:W3CDTF">2022-01-19T06:35:00Z</dcterms:created>
  <dcterms:modified xsi:type="dcterms:W3CDTF">2022-01-19T07:17:00Z</dcterms:modified>
</cp:coreProperties>
</file>